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280" w:rsidRPr="00795B34" w:rsidRDefault="00F6010E">
      <w:pPr>
        <w:rPr>
          <w:sz w:val="28"/>
          <w:szCs w:val="28"/>
        </w:rPr>
      </w:pPr>
      <w:r w:rsidRPr="006B331B">
        <w:rPr>
          <w:noProof/>
          <w:sz w:val="28"/>
          <w:szCs w:val="28"/>
          <w:lang w:eastAsia="fr-FR"/>
        </w:rPr>
        <w:drawing>
          <wp:inline distT="0" distB="0" distL="0" distR="0" wp14:anchorId="1CAB9DF2" wp14:editId="7ED70987">
            <wp:extent cx="863600" cy="1181100"/>
            <wp:effectExtent l="0" t="0" r="0" b="0"/>
            <wp:docPr id="2" name="Image 2"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ab/>
      </w:r>
      <w:r>
        <w:rPr>
          <w:sz w:val="28"/>
          <w:szCs w:val="28"/>
        </w:rPr>
        <w:tab/>
      </w:r>
      <w:r>
        <w:rPr>
          <w:sz w:val="28"/>
          <w:szCs w:val="28"/>
        </w:rPr>
        <w:tab/>
      </w:r>
      <w:r>
        <w:rPr>
          <w:sz w:val="28"/>
          <w:szCs w:val="28"/>
        </w:rPr>
        <w:tab/>
      </w:r>
      <w:r>
        <w:rPr>
          <w:b/>
          <w:sz w:val="28"/>
          <w:szCs w:val="28"/>
          <w:u w:val="single"/>
        </w:rPr>
        <w:t xml:space="preserve">Fonderie </w:t>
      </w:r>
      <w:proofErr w:type="spellStart"/>
      <w:r>
        <w:rPr>
          <w:b/>
          <w:sz w:val="28"/>
          <w:szCs w:val="28"/>
          <w:u w:val="single"/>
        </w:rPr>
        <w:t>Chappée</w:t>
      </w:r>
      <w:proofErr w:type="spellEnd"/>
      <w:r w:rsidR="00795B34">
        <w:rPr>
          <w:sz w:val="28"/>
          <w:szCs w:val="28"/>
        </w:rPr>
        <w:tab/>
      </w:r>
      <w:r w:rsidR="00795B34">
        <w:rPr>
          <w:sz w:val="28"/>
          <w:szCs w:val="28"/>
        </w:rPr>
        <w:tab/>
      </w:r>
      <w:r w:rsidR="00795B34">
        <w:rPr>
          <w:sz w:val="28"/>
          <w:szCs w:val="28"/>
        </w:rPr>
        <w:tab/>
      </w:r>
      <w:r w:rsidR="00795B34">
        <w:rPr>
          <w:noProof/>
          <w:lang w:eastAsia="fr-FR"/>
        </w:rPr>
        <w:drawing>
          <wp:inline distT="0" distB="0" distL="0" distR="0" wp14:anchorId="13AE1B8C" wp14:editId="19637B51">
            <wp:extent cx="982935" cy="352425"/>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7470" cy="371978"/>
                    </a:xfrm>
                    <a:prstGeom prst="rect">
                      <a:avLst/>
                    </a:prstGeom>
                  </pic:spPr>
                </pic:pic>
              </a:graphicData>
            </a:graphic>
          </wp:inline>
        </w:drawing>
      </w:r>
    </w:p>
    <w:p w:rsidR="006367D2" w:rsidRDefault="006367D2"/>
    <w:p w:rsidR="009839DB" w:rsidRDefault="009839DB">
      <w:r>
        <w:t xml:space="preserve">En 1841, Victor Doré et Joseph Chevé créent la fonderie tous métaux Chevé, Doré et Cie. Leurs productions rencontrent un succès immédiat avec l'obtention de la médaille d'argent à l'exposition d'art et d'industrie du Mans en 1842. Réalisant dans un premier temps un certain nombre de pièces telles que la fontaine des Jacobins, la fonderie de </w:t>
      </w:r>
      <w:proofErr w:type="spellStart"/>
      <w:r>
        <w:t>Saint-Pavin</w:t>
      </w:r>
      <w:proofErr w:type="spellEnd"/>
      <w:r>
        <w:t xml:space="preserve"> se spécialise dans la fourniture de matériel fixe pour chemin de fer. Les différents brevets déposés par Victor Doré dans les années 1850, dont celui sur les tuyaux pour l'eau ou le gaz, font la for</w:t>
      </w:r>
      <w:r w:rsidR="00276297">
        <w:t xml:space="preserve">tune de la fonderie. Un plan </w:t>
      </w:r>
      <w:r>
        <w:t xml:space="preserve">daté de 1858 présente l'ensemble des ateliers (fonderie, </w:t>
      </w:r>
      <w:proofErr w:type="spellStart"/>
      <w:r>
        <w:t>moulerie</w:t>
      </w:r>
      <w:proofErr w:type="spellEnd"/>
      <w:r>
        <w:t xml:space="preserve">, modelage, ajustage, </w:t>
      </w:r>
      <w:proofErr w:type="spellStart"/>
      <w:r>
        <w:t>ébardage</w:t>
      </w:r>
      <w:proofErr w:type="spellEnd"/>
      <w:r>
        <w:t>, etc.) témoignant de l'importante implantation de l'usine sur le site.</w:t>
      </w:r>
    </w:p>
    <w:p w:rsidR="00276297" w:rsidRPr="00276297" w:rsidRDefault="00276297">
      <w:pPr>
        <w:rPr>
          <w:b/>
        </w:rPr>
      </w:pPr>
      <w:r w:rsidRPr="00276297">
        <w:rPr>
          <w:b/>
        </w:rPr>
        <w:t>Une entreprise partagée en deux</w:t>
      </w:r>
    </w:p>
    <w:p w:rsidR="008F4975" w:rsidRDefault="00B27946">
      <w:r>
        <w:t xml:space="preserve">Lorsque Victor Doré se retire en 1871, il partage ses forges entre ses deux filles. </w:t>
      </w:r>
      <w:r w:rsidR="009839DB">
        <w:t xml:space="preserve">Victorine, épouse d’Armand </w:t>
      </w:r>
      <w:proofErr w:type="spellStart"/>
      <w:r w:rsidR="009839DB">
        <w:t>Chappée</w:t>
      </w:r>
      <w:proofErr w:type="spellEnd"/>
      <w:r w:rsidR="009839DB">
        <w:t xml:space="preserve">, </w:t>
      </w:r>
      <w:r>
        <w:t>ayant hérité des forges d’</w:t>
      </w:r>
      <w:proofErr w:type="spellStart"/>
      <w:r>
        <w:t>Antoigné</w:t>
      </w:r>
      <w:proofErr w:type="spellEnd"/>
      <w:r>
        <w:t xml:space="preserve">, il en devient le directeur. </w:t>
      </w:r>
      <w:r w:rsidR="008F4975">
        <w:t xml:space="preserve">En 1895, il fonde la société </w:t>
      </w:r>
      <w:proofErr w:type="spellStart"/>
      <w:r w:rsidR="008F4975">
        <w:t>Chappée</w:t>
      </w:r>
      <w:proofErr w:type="spellEnd"/>
      <w:r w:rsidR="008F4975">
        <w:t xml:space="preserve"> et Fils à laquelle il associe son fils Julien. Le siège social s’installe au Mans, rue Gambetta, en 1909. Armand </w:t>
      </w:r>
      <w:proofErr w:type="spellStart"/>
      <w:r w:rsidR="008F4975">
        <w:t>Chappée</w:t>
      </w:r>
      <w:proofErr w:type="spellEnd"/>
      <w:r w:rsidR="008F4975">
        <w:t xml:space="preserve"> dé</w:t>
      </w:r>
      <w:r w:rsidR="00AE70B0">
        <w:t>cède en 1922. Peu après, en 1928</w:t>
      </w:r>
      <w:r w:rsidR="008F4975">
        <w:t>,</w:t>
      </w:r>
      <w:r w:rsidR="00AE70B0">
        <w:t xml:space="preserve"> l’entreprise est reprise par la société </w:t>
      </w:r>
      <w:proofErr w:type="spellStart"/>
      <w:r w:rsidR="00AE70B0">
        <w:t>Raty</w:t>
      </w:r>
      <w:proofErr w:type="spellEnd"/>
      <w:r w:rsidR="00AE70B0">
        <w:t xml:space="preserve"> et Compagni</w:t>
      </w:r>
      <w:r w:rsidR="006367D2">
        <w:t>e qui créé l’année suivante la Société Générale de F</w:t>
      </w:r>
      <w:r w:rsidR="00AE70B0">
        <w:t xml:space="preserve">onderie, dont le siège social est à Paris. En 1930, l’ancien siège social de la société </w:t>
      </w:r>
      <w:proofErr w:type="spellStart"/>
      <w:r w:rsidR="00AE70B0">
        <w:t>Chappée</w:t>
      </w:r>
      <w:proofErr w:type="spellEnd"/>
      <w:r w:rsidR="00AE70B0">
        <w:t xml:space="preserve"> </w:t>
      </w:r>
      <w:r w:rsidR="006367D2">
        <w:t xml:space="preserve">rue Gambetta </w:t>
      </w:r>
      <w:r w:rsidR="00AE70B0">
        <w:t>est vendu à la ville du Mans qui le transforme d’abord en bibliothèque</w:t>
      </w:r>
      <w:r w:rsidR="008F4975">
        <w:t xml:space="preserve"> </w:t>
      </w:r>
      <w:r w:rsidR="00AE70B0">
        <w:t>en 1932, puis y loge les archives municipales en 1992.</w:t>
      </w:r>
      <w:r w:rsidR="00276297">
        <w:t xml:space="preserve"> L’activité de fonderie à Sainte-</w:t>
      </w:r>
      <w:proofErr w:type="spellStart"/>
      <w:r w:rsidR="00276297">
        <w:t>Jamme</w:t>
      </w:r>
      <w:proofErr w:type="spellEnd"/>
      <w:r w:rsidR="00276297">
        <w:t xml:space="preserve"> sur Sarth</w:t>
      </w:r>
      <w:r w:rsidR="006367D2">
        <w:t>e perdura et compta près de</w:t>
      </w:r>
      <w:r w:rsidR="00276297">
        <w:t xml:space="preserve"> 2000 ouvriers en 1964.</w:t>
      </w:r>
      <w:r w:rsidR="006367D2">
        <w:t xml:space="preserve"> Le chauffage électrique sonna la fin des chauffages en fonte. La fonderie cessa son activité en 1985.</w:t>
      </w:r>
    </w:p>
    <w:p w:rsidR="009839DB" w:rsidRDefault="009839DB" w:rsidP="009839DB">
      <w:pPr>
        <w:pStyle w:val="NormalWeb"/>
        <w:rPr>
          <w:rFonts w:asciiTheme="minorHAnsi" w:hAnsiTheme="minorHAnsi" w:cstheme="minorHAnsi"/>
          <w:sz w:val="22"/>
          <w:szCs w:val="22"/>
        </w:rPr>
      </w:pPr>
      <w:r w:rsidRPr="009839DB">
        <w:rPr>
          <w:rFonts w:asciiTheme="minorHAnsi" w:hAnsiTheme="minorHAnsi" w:cstheme="minorHAnsi"/>
          <w:sz w:val="22"/>
          <w:szCs w:val="22"/>
        </w:rPr>
        <w:t xml:space="preserve">En 1875, le site de </w:t>
      </w:r>
      <w:proofErr w:type="spellStart"/>
      <w:r w:rsidRPr="009839DB">
        <w:rPr>
          <w:rFonts w:asciiTheme="minorHAnsi" w:hAnsiTheme="minorHAnsi" w:cstheme="minorHAnsi"/>
          <w:sz w:val="22"/>
          <w:szCs w:val="22"/>
        </w:rPr>
        <w:t>Saint-Pavin</w:t>
      </w:r>
      <w:proofErr w:type="spellEnd"/>
      <w:r w:rsidRPr="009839DB">
        <w:rPr>
          <w:rFonts w:asciiTheme="minorHAnsi" w:hAnsiTheme="minorHAnsi" w:cstheme="minorHAnsi"/>
          <w:sz w:val="22"/>
          <w:szCs w:val="22"/>
        </w:rPr>
        <w:t xml:space="preserve"> revient à l’autre fille de Victor Doré, Ernestine-Pauline, et à son mari, Adrien Martin. L'usine est reprise en 1917 par leur fille Adrienne Martin et son fils Paul </w:t>
      </w:r>
      <w:proofErr w:type="spellStart"/>
      <w:r w:rsidRPr="009839DB">
        <w:rPr>
          <w:rFonts w:asciiTheme="minorHAnsi" w:hAnsiTheme="minorHAnsi" w:cstheme="minorHAnsi"/>
          <w:sz w:val="22"/>
          <w:szCs w:val="22"/>
        </w:rPr>
        <w:t>Fresney</w:t>
      </w:r>
      <w:proofErr w:type="spellEnd"/>
      <w:r w:rsidRPr="009839DB">
        <w:rPr>
          <w:rFonts w:asciiTheme="minorHAnsi" w:hAnsiTheme="minorHAnsi" w:cstheme="minorHAnsi"/>
          <w:sz w:val="22"/>
          <w:szCs w:val="22"/>
        </w:rPr>
        <w:t>.</w:t>
      </w:r>
      <w:r>
        <w:rPr>
          <w:rFonts w:asciiTheme="minorHAnsi" w:hAnsiTheme="minorHAnsi" w:cstheme="minorHAnsi"/>
          <w:sz w:val="22"/>
          <w:szCs w:val="22"/>
        </w:rPr>
        <w:t xml:space="preserve"> À</w:t>
      </w:r>
      <w:r w:rsidRPr="009839DB">
        <w:rPr>
          <w:rFonts w:asciiTheme="minorHAnsi" w:hAnsiTheme="minorHAnsi" w:cstheme="minorHAnsi"/>
          <w:sz w:val="22"/>
          <w:szCs w:val="22"/>
        </w:rPr>
        <w:t xml:space="preserve"> partir des années 1925, la stabilité de l'usine est ébranlée. En 1926, la SICO rachète une partie des terrains. L'activité de fonderie perd de l'ampleur jusqu'à être vendue en 1936 pour cesser définitivement son activité en 1950.</w:t>
      </w:r>
    </w:p>
    <w:p w:rsidR="00276297" w:rsidRPr="00276297" w:rsidRDefault="00276297" w:rsidP="009839DB">
      <w:pPr>
        <w:pStyle w:val="NormalWeb"/>
        <w:rPr>
          <w:rFonts w:asciiTheme="minorHAnsi" w:hAnsiTheme="minorHAnsi" w:cstheme="minorHAnsi"/>
          <w:b/>
          <w:sz w:val="22"/>
          <w:szCs w:val="22"/>
        </w:rPr>
      </w:pPr>
      <w:r w:rsidRPr="00276297">
        <w:rPr>
          <w:rFonts w:asciiTheme="minorHAnsi" w:hAnsiTheme="minorHAnsi" w:cstheme="minorHAnsi"/>
          <w:b/>
          <w:sz w:val="22"/>
          <w:szCs w:val="22"/>
        </w:rPr>
        <w:t>La 1</w:t>
      </w:r>
      <w:r w:rsidRPr="00276297">
        <w:rPr>
          <w:rFonts w:asciiTheme="minorHAnsi" w:hAnsiTheme="minorHAnsi" w:cstheme="minorHAnsi"/>
          <w:b/>
          <w:sz w:val="22"/>
          <w:szCs w:val="22"/>
          <w:vertAlign w:val="superscript"/>
        </w:rPr>
        <w:t>ère</w:t>
      </w:r>
      <w:r w:rsidRPr="00276297">
        <w:rPr>
          <w:rFonts w:asciiTheme="minorHAnsi" w:hAnsiTheme="minorHAnsi" w:cstheme="minorHAnsi"/>
          <w:b/>
          <w:sz w:val="22"/>
          <w:szCs w:val="22"/>
        </w:rPr>
        <w:t xml:space="preserve"> guerre mondiale</w:t>
      </w:r>
    </w:p>
    <w:p w:rsidR="00276297" w:rsidRPr="009839DB" w:rsidRDefault="00276297" w:rsidP="009839DB">
      <w:pPr>
        <w:pStyle w:val="NormalWeb"/>
        <w:rPr>
          <w:rFonts w:asciiTheme="minorHAnsi" w:hAnsiTheme="minorHAnsi" w:cstheme="minorHAnsi"/>
          <w:sz w:val="22"/>
          <w:szCs w:val="22"/>
        </w:rPr>
      </w:pPr>
      <w:r>
        <w:rPr>
          <w:rFonts w:asciiTheme="minorHAnsi" w:hAnsiTheme="minorHAnsi" w:cstheme="minorHAnsi"/>
          <w:sz w:val="22"/>
          <w:szCs w:val="22"/>
        </w:rPr>
        <w:t xml:space="preserve">L’usine </w:t>
      </w:r>
      <w:proofErr w:type="spellStart"/>
      <w:r>
        <w:rPr>
          <w:rFonts w:asciiTheme="minorHAnsi" w:hAnsiTheme="minorHAnsi" w:cstheme="minorHAnsi"/>
          <w:sz w:val="22"/>
          <w:szCs w:val="22"/>
        </w:rPr>
        <w:t>Chappée</w:t>
      </w:r>
      <w:proofErr w:type="spellEnd"/>
      <w:r>
        <w:rPr>
          <w:rFonts w:asciiTheme="minorHAnsi" w:hAnsiTheme="minorHAnsi" w:cstheme="minorHAnsi"/>
          <w:sz w:val="22"/>
          <w:szCs w:val="22"/>
        </w:rPr>
        <w:t xml:space="preserve"> ferme dès le début de la 1</w:t>
      </w:r>
      <w:r w:rsidRPr="00276297">
        <w:rPr>
          <w:rFonts w:asciiTheme="minorHAnsi" w:hAnsiTheme="minorHAnsi" w:cstheme="minorHAnsi"/>
          <w:sz w:val="22"/>
          <w:szCs w:val="22"/>
          <w:vertAlign w:val="superscript"/>
        </w:rPr>
        <w:t>ère</w:t>
      </w:r>
      <w:r>
        <w:rPr>
          <w:rFonts w:asciiTheme="minorHAnsi" w:hAnsiTheme="minorHAnsi" w:cstheme="minorHAnsi"/>
          <w:sz w:val="22"/>
          <w:szCs w:val="22"/>
        </w:rPr>
        <w:t xml:space="preserve"> guerre mondiale car ses ouvriers sont appelés sur le front. Mais face aux besoins importants en obus, la fonderie </w:t>
      </w:r>
      <w:proofErr w:type="spellStart"/>
      <w:r>
        <w:rPr>
          <w:rFonts w:asciiTheme="minorHAnsi" w:hAnsiTheme="minorHAnsi" w:cstheme="minorHAnsi"/>
          <w:sz w:val="22"/>
          <w:szCs w:val="22"/>
        </w:rPr>
        <w:t>réouvre</w:t>
      </w:r>
      <w:proofErr w:type="spellEnd"/>
      <w:r>
        <w:rPr>
          <w:rFonts w:asciiTheme="minorHAnsi" w:hAnsiTheme="minorHAnsi" w:cstheme="minorHAnsi"/>
          <w:sz w:val="22"/>
          <w:szCs w:val="22"/>
        </w:rPr>
        <w:t xml:space="preserve"> quelques mois plus tard afin de fabriquer des obus. Pour cela, des ouvriers sont rappelés du front et retrouvent alors leur poste à la fonderie. Une nouveauté a alors lieu à la fonderie d’</w:t>
      </w:r>
      <w:proofErr w:type="spellStart"/>
      <w:r>
        <w:rPr>
          <w:rFonts w:asciiTheme="minorHAnsi" w:hAnsiTheme="minorHAnsi" w:cstheme="minorHAnsi"/>
          <w:sz w:val="22"/>
          <w:szCs w:val="22"/>
        </w:rPr>
        <w:t>Antoigné</w:t>
      </w:r>
      <w:proofErr w:type="spellEnd"/>
      <w:r>
        <w:rPr>
          <w:rFonts w:asciiTheme="minorHAnsi" w:hAnsiTheme="minorHAnsi" w:cstheme="minorHAnsi"/>
          <w:sz w:val="22"/>
          <w:szCs w:val="22"/>
        </w:rPr>
        <w:t> : des femmes sont embauchées pour la fabrication de grenades.</w:t>
      </w:r>
    </w:p>
    <w:p w:rsidR="009839DB" w:rsidRPr="00B27946" w:rsidRDefault="009839DB"/>
    <w:p w:rsidR="00F6010E" w:rsidRDefault="00F6010E" w:rsidP="00F6010E">
      <w:pPr>
        <w:pStyle w:val="Paragraphedeliste"/>
        <w:ind w:left="0"/>
        <w:jc w:val="center"/>
        <w:rPr>
          <w:sz w:val="18"/>
          <w:szCs w:val="18"/>
        </w:rPr>
      </w:pPr>
      <w:r w:rsidRPr="00792EDC">
        <w:rPr>
          <w:noProof/>
          <w:sz w:val="18"/>
          <w:szCs w:val="18"/>
          <w:lang w:eastAsia="fr-FR"/>
        </w:rPr>
        <w:lastRenderedPageBreak/>
        <w:drawing>
          <wp:inline distT="0" distB="0" distL="0" distR="0" wp14:anchorId="6174F9A6" wp14:editId="5F9A2E2B">
            <wp:extent cx="2862789" cy="1896745"/>
            <wp:effectExtent l="0" t="0" r="0" b="825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
                      <a:extLst>
                        <a:ext uri="{28A0092B-C50C-407E-A947-70E740481C1C}">
                          <a14:useLocalDpi xmlns:a14="http://schemas.microsoft.com/office/drawing/2010/main" val="0"/>
                        </a:ext>
                      </a:extLst>
                    </a:blip>
                    <a:srcRect r="1619"/>
                    <a:stretch/>
                  </pic:blipFill>
                  <pic:spPr bwMode="auto">
                    <a:xfrm>
                      <a:off x="0" y="0"/>
                      <a:ext cx="2892510" cy="1916437"/>
                    </a:xfrm>
                    <a:prstGeom prst="rect">
                      <a:avLst/>
                    </a:prstGeom>
                    <a:noFill/>
                    <a:ln>
                      <a:noFill/>
                    </a:ln>
                    <a:extLst>
                      <a:ext uri="{53640926-AAD7-44D8-BBD7-CCE9431645EC}">
                        <a14:shadowObscured xmlns:a14="http://schemas.microsoft.com/office/drawing/2010/main"/>
                      </a:ext>
                    </a:extLst>
                  </pic:spPr>
                </pic:pic>
              </a:graphicData>
            </a:graphic>
          </wp:inline>
        </w:drawing>
      </w:r>
      <w:r>
        <w:rPr>
          <w:sz w:val="18"/>
          <w:szCs w:val="18"/>
        </w:rPr>
        <w:t xml:space="preserve"> </w:t>
      </w:r>
      <w:r>
        <w:rPr>
          <w:noProof/>
          <w:lang w:eastAsia="fr-FR"/>
        </w:rPr>
        <w:drawing>
          <wp:inline distT="0" distB="0" distL="0" distR="0" wp14:anchorId="38EA11CC" wp14:editId="06B9815A">
            <wp:extent cx="2687690" cy="1914471"/>
            <wp:effectExtent l="0" t="0" r="0" b="0"/>
            <wp:docPr id="30" name="Image 30" descr="Fonderie Chappée (Siège) - Patrimoine quartiers Le Mans O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nderie Chappée (Siège) - Patrimoine quartiers Le Mans Ouest"/>
                    <pic:cNvPicPr>
                      <a:picLocks noChangeAspect="1" noChangeArrowheads="1"/>
                    </pic:cNvPicPr>
                  </pic:nvPicPr>
                  <pic:blipFill rotWithShape="1">
                    <a:blip r:embed="rId9">
                      <a:extLst>
                        <a:ext uri="{28A0092B-C50C-407E-A947-70E740481C1C}">
                          <a14:useLocalDpi xmlns:a14="http://schemas.microsoft.com/office/drawing/2010/main" val="0"/>
                        </a:ext>
                      </a:extLst>
                    </a:blip>
                    <a:srcRect l="2593" t="2391" r="2174" b="10013"/>
                    <a:stretch/>
                  </pic:blipFill>
                  <pic:spPr bwMode="auto">
                    <a:xfrm>
                      <a:off x="0" y="0"/>
                      <a:ext cx="2758718" cy="1965065"/>
                    </a:xfrm>
                    <a:prstGeom prst="rect">
                      <a:avLst/>
                    </a:prstGeom>
                    <a:noFill/>
                    <a:ln>
                      <a:noFill/>
                    </a:ln>
                    <a:extLst>
                      <a:ext uri="{53640926-AAD7-44D8-BBD7-CCE9431645EC}">
                        <a14:shadowObscured xmlns:a14="http://schemas.microsoft.com/office/drawing/2010/main"/>
                      </a:ext>
                    </a:extLst>
                  </pic:spPr>
                </pic:pic>
              </a:graphicData>
            </a:graphic>
          </wp:inline>
        </w:drawing>
      </w:r>
    </w:p>
    <w:p w:rsidR="00F6010E" w:rsidRDefault="00F6010E" w:rsidP="00F6010E">
      <w:pPr>
        <w:pStyle w:val="Paragraphedeliste"/>
        <w:ind w:left="0"/>
        <w:jc w:val="center"/>
        <w:rPr>
          <w:sz w:val="18"/>
          <w:szCs w:val="18"/>
        </w:rPr>
      </w:pPr>
      <w:r>
        <w:rPr>
          <w:sz w:val="18"/>
          <w:szCs w:val="18"/>
        </w:rPr>
        <w:t xml:space="preserve">Atelier de la fonderie </w:t>
      </w:r>
      <w:proofErr w:type="spellStart"/>
      <w:r>
        <w:rPr>
          <w:sz w:val="18"/>
          <w:szCs w:val="18"/>
        </w:rPr>
        <w:t>Chappée</w:t>
      </w:r>
      <w:proofErr w:type="spellEnd"/>
      <w:r>
        <w:rPr>
          <w:sz w:val="18"/>
          <w:szCs w:val="18"/>
        </w:rPr>
        <w:t xml:space="preserve"> à </w:t>
      </w:r>
      <w:proofErr w:type="spellStart"/>
      <w:r>
        <w:rPr>
          <w:sz w:val="18"/>
          <w:szCs w:val="18"/>
        </w:rPr>
        <w:t>Antoigné</w:t>
      </w:r>
      <w:proofErr w:type="spellEnd"/>
      <w:r>
        <w:rPr>
          <w:sz w:val="18"/>
          <w:szCs w:val="18"/>
        </w:rPr>
        <w:t xml:space="preserve"> (source : huile sur toile, Paul</w:t>
      </w:r>
      <w:r w:rsidR="008E7BB9">
        <w:rPr>
          <w:sz w:val="18"/>
          <w:szCs w:val="18"/>
        </w:rPr>
        <w:t>-Constant</w:t>
      </w:r>
      <w:r>
        <w:rPr>
          <w:sz w:val="18"/>
          <w:szCs w:val="18"/>
        </w:rPr>
        <w:t xml:space="preserve"> Soyer</w:t>
      </w:r>
      <w:r w:rsidR="008E7BB9">
        <w:rPr>
          <w:sz w:val="18"/>
          <w:szCs w:val="18"/>
        </w:rPr>
        <w:t>, vers 1900</w:t>
      </w:r>
      <w:r>
        <w:rPr>
          <w:sz w:val="18"/>
          <w:szCs w:val="18"/>
        </w:rPr>
        <w:t xml:space="preserve">) et photo des bureaux de la fonderie </w:t>
      </w:r>
      <w:proofErr w:type="spellStart"/>
      <w:r>
        <w:rPr>
          <w:sz w:val="18"/>
          <w:szCs w:val="18"/>
        </w:rPr>
        <w:t>Chappée</w:t>
      </w:r>
      <w:proofErr w:type="spellEnd"/>
      <w:r>
        <w:rPr>
          <w:sz w:val="18"/>
          <w:szCs w:val="18"/>
        </w:rPr>
        <w:t xml:space="preserve"> au Mans (source : patrimoinelemansouest.net).</w:t>
      </w:r>
    </w:p>
    <w:p w:rsidR="00F6010E" w:rsidRDefault="00F6010E" w:rsidP="009839DB">
      <w:pPr>
        <w:jc w:val="center"/>
      </w:pPr>
      <w:r w:rsidRPr="00F6010E">
        <w:rPr>
          <w:noProof/>
          <w:lang w:eastAsia="fr-FR"/>
        </w:rPr>
        <w:drawing>
          <wp:inline distT="0" distB="0" distL="0" distR="0">
            <wp:extent cx="860024" cy="2145665"/>
            <wp:effectExtent l="0" t="0" r="0" b="6985"/>
            <wp:docPr id="1" name="Image 1" descr="C:\Users\ddodin\Documents\CPD\ville du Mans\expo mécanique d'une ville\Modèle en plâtre pour un radiateur Chappée © Archives du Mans - Région Pays de la Loire - Inventaire génér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expo mécanique d'une ville\Modèle en plâtre pour un radiateur Chappée © Archives du Mans - Région Pays de la Loire - Inventaire général.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5963" cy="2160481"/>
                    </a:xfrm>
                    <a:prstGeom prst="rect">
                      <a:avLst/>
                    </a:prstGeom>
                    <a:noFill/>
                    <a:ln>
                      <a:noFill/>
                    </a:ln>
                  </pic:spPr>
                </pic:pic>
              </a:graphicData>
            </a:graphic>
          </wp:inline>
        </w:drawing>
      </w:r>
      <w:r w:rsidR="009839DB">
        <w:t xml:space="preserve">    </w:t>
      </w:r>
      <w:r w:rsidR="0004759F">
        <w:tab/>
      </w:r>
      <w:r w:rsidR="0004759F">
        <w:tab/>
      </w:r>
      <w:r w:rsidR="009839DB">
        <w:t xml:space="preserve"> </w:t>
      </w:r>
      <w:r w:rsidR="00AE70B0">
        <w:rPr>
          <w:noProof/>
          <w:lang w:eastAsia="fr-FR"/>
        </w:rPr>
        <w:drawing>
          <wp:inline distT="0" distB="0" distL="0" distR="0">
            <wp:extent cx="1628602" cy="2178521"/>
            <wp:effectExtent l="0" t="0" r="0" b="0"/>
            <wp:docPr id="5" name="Image 5" descr="Catalogue Chappée (1896) | Fontes d'art et métallurgie anci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alogue Chappée (1896) | Fontes d'art et métallurgie ancien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8121" cy="2191254"/>
                    </a:xfrm>
                    <a:prstGeom prst="rect">
                      <a:avLst/>
                    </a:prstGeom>
                    <a:noFill/>
                    <a:ln>
                      <a:noFill/>
                    </a:ln>
                  </pic:spPr>
                </pic:pic>
              </a:graphicData>
            </a:graphic>
          </wp:inline>
        </w:drawing>
      </w:r>
    </w:p>
    <w:tbl>
      <w:tblPr>
        <w:tblStyle w:val="Grilledutableau"/>
        <w:tblW w:w="0" w:type="auto"/>
        <w:tblLook w:val="04A0" w:firstRow="1" w:lastRow="0" w:firstColumn="1" w:lastColumn="0" w:noHBand="0" w:noVBand="1"/>
      </w:tblPr>
      <w:tblGrid>
        <w:gridCol w:w="4531"/>
        <w:gridCol w:w="4531"/>
      </w:tblGrid>
      <w:tr w:rsidR="009839DB" w:rsidTr="0004759F">
        <w:tc>
          <w:tcPr>
            <w:tcW w:w="4531" w:type="dxa"/>
            <w:tcBorders>
              <w:top w:val="nil"/>
              <w:left w:val="nil"/>
              <w:bottom w:val="nil"/>
              <w:right w:val="nil"/>
            </w:tcBorders>
          </w:tcPr>
          <w:p w:rsidR="0004759F" w:rsidRDefault="0004759F">
            <w:pPr>
              <w:rPr>
                <w:sz w:val="18"/>
                <w:szCs w:val="18"/>
              </w:rPr>
            </w:pPr>
            <w:r>
              <w:rPr>
                <w:sz w:val="18"/>
                <w:szCs w:val="18"/>
              </w:rPr>
              <w:t xml:space="preserve">Modèle en plâtre pour un radiateur </w:t>
            </w:r>
            <w:proofErr w:type="spellStart"/>
            <w:r>
              <w:rPr>
                <w:sz w:val="18"/>
                <w:szCs w:val="18"/>
              </w:rPr>
              <w:t>Chappée</w:t>
            </w:r>
            <w:proofErr w:type="spellEnd"/>
            <w:r>
              <w:rPr>
                <w:rFonts w:cstheme="minorHAnsi"/>
                <w:sz w:val="18"/>
                <w:szCs w:val="18"/>
              </w:rPr>
              <w:t>©</w:t>
            </w:r>
            <w:r>
              <w:rPr>
                <w:sz w:val="18"/>
                <w:szCs w:val="18"/>
              </w:rPr>
              <w:t xml:space="preserve"> – </w:t>
            </w:r>
          </w:p>
          <w:p w:rsidR="009839DB" w:rsidRDefault="0004759F">
            <w:pPr>
              <w:rPr>
                <w:sz w:val="18"/>
                <w:szCs w:val="18"/>
              </w:rPr>
            </w:pPr>
            <w:r>
              <w:rPr>
                <w:sz w:val="18"/>
                <w:szCs w:val="18"/>
              </w:rPr>
              <w:t>source : archives du Mans</w:t>
            </w:r>
          </w:p>
        </w:tc>
        <w:tc>
          <w:tcPr>
            <w:tcW w:w="4531" w:type="dxa"/>
            <w:tcBorders>
              <w:top w:val="nil"/>
              <w:left w:val="nil"/>
              <w:bottom w:val="nil"/>
              <w:right w:val="nil"/>
            </w:tcBorders>
          </w:tcPr>
          <w:p w:rsidR="009839DB" w:rsidRDefault="0004759F">
            <w:pPr>
              <w:rPr>
                <w:sz w:val="18"/>
                <w:szCs w:val="18"/>
              </w:rPr>
            </w:pPr>
            <w:r>
              <w:rPr>
                <w:sz w:val="18"/>
                <w:szCs w:val="18"/>
              </w:rPr>
              <w:t xml:space="preserve">Mans Extrait du catalogue </w:t>
            </w:r>
            <w:proofErr w:type="spellStart"/>
            <w:r>
              <w:rPr>
                <w:sz w:val="18"/>
                <w:szCs w:val="18"/>
              </w:rPr>
              <w:t>Chappée</w:t>
            </w:r>
            <w:proofErr w:type="spellEnd"/>
            <w:r>
              <w:rPr>
                <w:sz w:val="18"/>
                <w:szCs w:val="18"/>
              </w:rPr>
              <w:t>, 1896, fontes d’art et métallurgie ancienne. Source : fontesdart.org</w:t>
            </w:r>
          </w:p>
        </w:tc>
      </w:tr>
    </w:tbl>
    <w:p w:rsidR="009839DB" w:rsidRDefault="009839DB">
      <w:pPr>
        <w:rPr>
          <w:sz w:val="18"/>
          <w:szCs w:val="18"/>
        </w:rPr>
      </w:pPr>
    </w:p>
    <w:p w:rsidR="00AE70B0" w:rsidRDefault="00AE70B0" w:rsidP="00AE70B0">
      <w:pPr>
        <w:jc w:val="center"/>
        <w:rPr>
          <w:sz w:val="18"/>
          <w:szCs w:val="18"/>
        </w:rPr>
      </w:pPr>
      <w:r>
        <w:rPr>
          <w:noProof/>
          <w:lang w:eastAsia="fr-FR"/>
        </w:rPr>
        <w:drawing>
          <wp:inline distT="0" distB="0" distL="0" distR="0">
            <wp:extent cx="3266877" cy="4107428"/>
            <wp:effectExtent l="0" t="0" r="0" b="7620"/>
            <wp:docPr id="7" name="Image 7" descr="ANCIENNE BROCHURE CHAPPEE CHAUFFAGE CUISINE POELE FONDERIE PARIS - Phot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CIENNE BROCHURE CHAPPEE CHAUFFAGE CUISINE POELE FONDERIE PARIS - Photo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18" t="4449" r="7486" b="3864"/>
                    <a:stretch/>
                  </pic:blipFill>
                  <pic:spPr bwMode="auto">
                    <a:xfrm>
                      <a:off x="0" y="0"/>
                      <a:ext cx="3284837" cy="4130010"/>
                    </a:xfrm>
                    <a:prstGeom prst="rect">
                      <a:avLst/>
                    </a:prstGeom>
                    <a:noFill/>
                    <a:ln>
                      <a:noFill/>
                    </a:ln>
                    <a:extLst>
                      <a:ext uri="{53640926-AAD7-44D8-BBD7-CCE9431645EC}">
                        <a14:shadowObscured xmlns:a14="http://schemas.microsoft.com/office/drawing/2010/main"/>
                      </a:ext>
                    </a:extLst>
                  </pic:spPr>
                </pic:pic>
              </a:graphicData>
            </a:graphic>
          </wp:inline>
        </w:drawing>
      </w:r>
    </w:p>
    <w:p w:rsidR="00AE70B0" w:rsidRDefault="00AE70B0" w:rsidP="00AE70B0">
      <w:pPr>
        <w:jc w:val="center"/>
        <w:rPr>
          <w:sz w:val="18"/>
          <w:szCs w:val="18"/>
        </w:rPr>
      </w:pPr>
      <w:r>
        <w:rPr>
          <w:sz w:val="18"/>
          <w:szCs w:val="18"/>
        </w:rPr>
        <w:t xml:space="preserve">Photo d’une ancienne brochure </w:t>
      </w:r>
      <w:proofErr w:type="spellStart"/>
      <w:r>
        <w:rPr>
          <w:sz w:val="18"/>
          <w:szCs w:val="18"/>
        </w:rPr>
        <w:t>Chappée</w:t>
      </w:r>
      <w:proofErr w:type="spellEnd"/>
      <w:r>
        <w:rPr>
          <w:sz w:val="18"/>
          <w:szCs w:val="18"/>
        </w:rPr>
        <w:t xml:space="preserve"> – source : ebay.fr</w:t>
      </w:r>
    </w:p>
    <w:p w:rsidR="0004759F" w:rsidRDefault="0004759F" w:rsidP="00AE70B0">
      <w:pPr>
        <w:jc w:val="center"/>
        <w:rPr>
          <w:sz w:val="18"/>
          <w:szCs w:val="18"/>
        </w:rPr>
      </w:pPr>
      <w:r w:rsidRPr="0004759F">
        <w:lastRenderedPageBreak/>
        <w:t xml:space="preserve"> </w:t>
      </w:r>
      <w:r>
        <w:rPr>
          <w:noProof/>
          <w:lang w:eastAsia="fr-FR"/>
        </w:rPr>
        <w:drawing>
          <wp:inline distT="0" distB="0" distL="0" distR="0">
            <wp:extent cx="2028825" cy="1832487"/>
            <wp:effectExtent l="0" t="0" r="0" b="0"/>
            <wp:docPr id="9" name="Image 9" descr="chapp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ppe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8551" cy="1850304"/>
                    </a:xfrm>
                    <a:prstGeom prst="rect">
                      <a:avLst/>
                    </a:prstGeom>
                    <a:noFill/>
                    <a:ln>
                      <a:noFill/>
                    </a:ln>
                  </pic:spPr>
                </pic:pic>
              </a:graphicData>
            </a:graphic>
          </wp:inline>
        </w:drawing>
      </w:r>
    </w:p>
    <w:p w:rsidR="0004759F" w:rsidRDefault="0004759F" w:rsidP="00AE70B0">
      <w:pPr>
        <w:jc w:val="center"/>
        <w:rPr>
          <w:sz w:val="18"/>
          <w:szCs w:val="18"/>
        </w:rPr>
      </w:pPr>
      <w:r>
        <w:rPr>
          <w:sz w:val="18"/>
          <w:szCs w:val="18"/>
        </w:rPr>
        <w:t>Plaque d’</w:t>
      </w:r>
      <w:proofErr w:type="spellStart"/>
      <w:r>
        <w:rPr>
          <w:sz w:val="18"/>
          <w:szCs w:val="18"/>
        </w:rPr>
        <w:t>égoût</w:t>
      </w:r>
      <w:proofErr w:type="spellEnd"/>
      <w:r>
        <w:rPr>
          <w:sz w:val="18"/>
          <w:szCs w:val="18"/>
        </w:rPr>
        <w:t xml:space="preserve"> </w:t>
      </w:r>
      <w:proofErr w:type="spellStart"/>
      <w:r>
        <w:rPr>
          <w:sz w:val="18"/>
          <w:szCs w:val="18"/>
        </w:rPr>
        <w:t>Chappée</w:t>
      </w:r>
      <w:proofErr w:type="spellEnd"/>
      <w:r>
        <w:rPr>
          <w:sz w:val="18"/>
          <w:szCs w:val="18"/>
        </w:rPr>
        <w:t xml:space="preserve"> – source : fonderie-piwi.fr</w:t>
      </w:r>
    </w:p>
    <w:p w:rsidR="0004759F" w:rsidRDefault="0004759F">
      <w:pPr>
        <w:rPr>
          <w:sz w:val="18"/>
          <w:szCs w:val="18"/>
        </w:rPr>
      </w:pPr>
    </w:p>
    <w:p w:rsidR="0004759F" w:rsidRDefault="007C4D04">
      <w:pPr>
        <w:rPr>
          <w:sz w:val="18"/>
          <w:szCs w:val="18"/>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2395608</wp:posOffset>
                </wp:positionH>
                <wp:positionV relativeFrom="paragraph">
                  <wp:posOffset>1978628</wp:posOffset>
                </wp:positionV>
                <wp:extent cx="736154" cy="828428"/>
                <wp:effectExtent l="0" t="0" r="26035" b="10160"/>
                <wp:wrapNone/>
                <wp:docPr id="11" name="Ellipse 11"/>
                <wp:cNvGraphicFramePr/>
                <a:graphic xmlns:a="http://schemas.openxmlformats.org/drawingml/2006/main">
                  <a:graphicData uri="http://schemas.microsoft.com/office/word/2010/wordprocessingShape">
                    <wps:wsp>
                      <wps:cNvSpPr/>
                      <wps:spPr>
                        <a:xfrm>
                          <a:off x="0" y="0"/>
                          <a:ext cx="736154" cy="82842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F5D78" id="Ellipse 11" o:spid="_x0000_s1026" style="position:absolute;margin-left:188.65pt;margin-top:155.8pt;width:57.9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" filled="f" strokecolor="red" strokeweight="1.5pt">
                <v:stroke joinstyle="miter"/>
              </v:oval>
            </w:pict>
          </mc:Fallback>
        </mc:AlternateContent>
      </w: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2840932</wp:posOffset>
                </wp:positionH>
                <wp:positionV relativeFrom="paragraph">
                  <wp:posOffset>1568928</wp:posOffset>
                </wp:positionV>
                <wp:extent cx="290946" cy="320634"/>
                <wp:effectExtent l="0" t="0" r="13970" b="22860"/>
                <wp:wrapNone/>
                <wp:docPr id="12" name="Ellipse 12"/>
                <wp:cNvGraphicFramePr/>
                <a:graphic xmlns:a="http://schemas.openxmlformats.org/drawingml/2006/main">
                  <a:graphicData uri="http://schemas.microsoft.com/office/word/2010/wordprocessingShape">
                    <wps:wsp>
                      <wps:cNvSpPr/>
                      <wps:spPr>
                        <a:xfrm>
                          <a:off x="0" y="0"/>
                          <a:ext cx="290946" cy="320634"/>
                        </a:xfrm>
                        <a:prstGeom prst="ellipse">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0FEE0" id="Ellipse 12" o:spid="_x0000_s1026" style="position:absolute;margin-left:223.7pt;margin-top:123.55pt;width:22.9pt;height: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" filled="f" strokecolor="yellow" strokeweight="1.5pt">
                <v:stroke joinstyle="miter"/>
              </v:oval>
            </w:pict>
          </mc:Fallback>
        </mc:AlternateContent>
      </w:r>
      <w:r w:rsidR="0004759F">
        <w:rPr>
          <w:noProof/>
          <w:lang w:eastAsia="fr-FR"/>
        </w:rPr>
        <w:drawing>
          <wp:inline distT="0" distB="0" distL="0" distR="0" wp14:anchorId="0208F52A" wp14:editId="356C300F">
            <wp:extent cx="5760720" cy="41338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4133850"/>
                    </a:xfrm>
                    <a:prstGeom prst="rect">
                      <a:avLst/>
                    </a:prstGeom>
                  </pic:spPr>
                </pic:pic>
              </a:graphicData>
            </a:graphic>
          </wp:inline>
        </w:drawing>
      </w:r>
    </w:p>
    <w:p w:rsidR="007C4D04" w:rsidRDefault="007C4D04">
      <w:pPr>
        <w:rPr>
          <w:sz w:val="18"/>
          <w:szCs w:val="18"/>
        </w:rPr>
      </w:pPr>
      <w:r>
        <w:rPr>
          <w:sz w:val="18"/>
          <w:szCs w:val="18"/>
        </w:rPr>
        <w:t xml:space="preserve">Vue aérienne du quartier de </w:t>
      </w:r>
      <w:proofErr w:type="spellStart"/>
      <w:r>
        <w:rPr>
          <w:sz w:val="18"/>
          <w:szCs w:val="18"/>
        </w:rPr>
        <w:t>Saint-Pavin</w:t>
      </w:r>
      <w:proofErr w:type="spellEnd"/>
      <w:r>
        <w:rPr>
          <w:sz w:val="18"/>
          <w:szCs w:val="18"/>
        </w:rPr>
        <w:t xml:space="preserve"> avec l’ancienne fonderie Doré (cerclée de rouge) et l’ancien siège social de la fonderie </w:t>
      </w:r>
      <w:proofErr w:type="spellStart"/>
      <w:r>
        <w:rPr>
          <w:sz w:val="18"/>
          <w:szCs w:val="18"/>
        </w:rPr>
        <w:t>Chappée</w:t>
      </w:r>
      <w:proofErr w:type="spellEnd"/>
      <w:r>
        <w:rPr>
          <w:sz w:val="18"/>
          <w:szCs w:val="18"/>
        </w:rPr>
        <w:t xml:space="preserve"> (entourée de jaune) en 1951 – source : remonterletemps.ign.fr</w:t>
      </w:r>
    </w:p>
    <w:p w:rsidR="00B050F0" w:rsidRDefault="00B050F0">
      <w:pPr>
        <w:rPr>
          <w:sz w:val="18"/>
          <w:szCs w:val="18"/>
        </w:rPr>
      </w:pPr>
    </w:p>
    <w:p w:rsidR="00B050F0" w:rsidRDefault="00B050F0" w:rsidP="00B050F0">
      <w:pPr>
        <w:jc w:val="center"/>
        <w:rPr>
          <w:sz w:val="18"/>
          <w:szCs w:val="18"/>
        </w:rPr>
      </w:pPr>
      <w:r w:rsidRPr="00B050F0">
        <w:rPr>
          <w:noProof/>
          <w:sz w:val="18"/>
          <w:szCs w:val="18"/>
          <w:lang w:eastAsia="fr-FR"/>
        </w:rPr>
        <w:drawing>
          <wp:inline distT="0" distB="0" distL="0" distR="0">
            <wp:extent cx="4838700" cy="2037347"/>
            <wp:effectExtent l="0" t="0" r="0" b="1270"/>
            <wp:docPr id="4" name="Image 4" descr="C:\Users\ddodin\Pictures\transfert images\Révolution industrielle\ouvriers fonderie d'Antoigné 1906 A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transfert images\Révolution industrielle\ouvriers fonderie d'Antoigné 1906 AD7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5895" cy="2057219"/>
                    </a:xfrm>
                    <a:prstGeom prst="rect">
                      <a:avLst/>
                    </a:prstGeom>
                    <a:noFill/>
                    <a:ln>
                      <a:noFill/>
                    </a:ln>
                  </pic:spPr>
                </pic:pic>
              </a:graphicData>
            </a:graphic>
          </wp:inline>
        </w:drawing>
      </w:r>
    </w:p>
    <w:p w:rsidR="00B050F0" w:rsidRDefault="00B050F0" w:rsidP="00B050F0">
      <w:pPr>
        <w:jc w:val="center"/>
        <w:rPr>
          <w:sz w:val="18"/>
          <w:szCs w:val="18"/>
        </w:rPr>
      </w:pPr>
      <w:r>
        <w:rPr>
          <w:sz w:val="18"/>
          <w:szCs w:val="18"/>
        </w:rPr>
        <w:t xml:space="preserve">Sortie de l’usine </w:t>
      </w:r>
      <w:proofErr w:type="spellStart"/>
      <w:r>
        <w:rPr>
          <w:sz w:val="18"/>
          <w:szCs w:val="18"/>
        </w:rPr>
        <w:t>Chappée</w:t>
      </w:r>
      <w:proofErr w:type="spellEnd"/>
      <w:r>
        <w:rPr>
          <w:sz w:val="18"/>
          <w:szCs w:val="18"/>
        </w:rPr>
        <w:t xml:space="preserve"> d’</w:t>
      </w:r>
      <w:proofErr w:type="spellStart"/>
      <w:r>
        <w:rPr>
          <w:sz w:val="18"/>
          <w:szCs w:val="18"/>
        </w:rPr>
        <w:t>Antoigné</w:t>
      </w:r>
      <w:proofErr w:type="spellEnd"/>
      <w:r>
        <w:rPr>
          <w:sz w:val="18"/>
          <w:szCs w:val="18"/>
        </w:rPr>
        <w:t xml:space="preserve"> en 1906, carte postale</w:t>
      </w:r>
      <w:bookmarkStart w:id="0" w:name="_GoBack"/>
      <w:bookmarkEnd w:id="0"/>
      <w:r>
        <w:rPr>
          <w:sz w:val="18"/>
          <w:szCs w:val="18"/>
        </w:rPr>
        <w:t>, AD 72</w:t>
      </w:r>
    </w:p>
    <w:sectPr w:rsidR="00B050F0" w:rsidSect="008E7BB9">
      <w:footerReference w:type="default" r:id="rId16"/>
      <w:pgSz w:w="11906" w:h="16838"/>
      <w:pgMar w:top="709" w:right="1417" w:bottom="709"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37D" w:rsidRDefault="00B8037D" w:rsidP="008E7BB9">
      <w:pPr>
        <w:spacing w:after="0" w:line="240" w:lineRule="auto"/>
      </w:pPr>
      <w:r>
        <w:separator/>
      </w:r>
    </w:p>
  </w:endnote>
  <w:endnote w:type="continuationSeparator" w:id="0">
    <w:p w:rsidR="00B8037D" w:rsidRDefault="00B8037D" w:rsidP="008E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B9" w:rsidRPr="008E7BB9" w:rsidRDefault="008E7BB9">
    <w:pPr>
      <w:pStyle w:val="Pieddepage"/>
      <w:rPr>
        <w:sz w:val="16"/>
        <w:szCs w:val="16"/>
      </w:rPr>
    </w:pPr>
    <w:r w:rsidRPr="008E7BB9">
      <w:rPr>
        <w:sz w:val="16"/>
        <w:szCs w:val="16"/>
      </w:rPr>
      <w:t xml:space="preserve">Document créé par le CPD72 FPC-RMAH </w:t>
    </w:r>
  </w:p>
  <w:p w:rsidR="008E7BB9" w:rsidRDefault="008E7B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37D" w:rsidRDefault="00B8037D" w:rsidP="008E7BB9">
      <w:pPr>
        <w:spacing w:after="0" w:line="240" w:lineRule="auto"/>
      </w:pPr>
      <w:r>
        <w:separator/>
      </w:r>
    </w:p>
  </w:footnote>
  <w:footnote w:type="continuationSeparator" w:id="0">
    <w:p w:rsidR="00B8037D" w:rsidRDefault="00B8037D" w:rsidP="008E7B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0E"/>
    <w:rsid w:val="0004759F"/>
    <w:rsid w:val="00276297"/>
    <w:rsid w:val="004742D5"/>
    <w:rsid w:val="00480986"/>
    <w:rsid w:val="005E3280"/>
    <w:rsid w:val="006367D2"/>
    <w:rsid w:val="00795B34"/>
    <w:rsid w:val="007C4D04"/>
    <w:rsid w:val="008629E9"/>
    <w:rsid w:val="008E06CB"/>
    <w:rsid w:val="008E7BB9"/>
    <w:rsid w:val="008F4975"/>
    <w:rsid w:val="009839DB"/>
    <w:rsid w:val="00AE70B0"/>
    <w:rsid w:val="00B050F0"/>
    <w:rsid w:val="00B27946"/>
    <w:rsid w:val="00B8037D"/>
    <w:rsid w:val="00D2372E"/>
    <w:rsid w:val="00F6010E"/>
    <w:rsid w:val="00F954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1327"/>
  <w15:chartTrackingRefBased/>
  <w15:docId w15:val="{8EC2A309-E735-40D9-8FAE-8310722F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010E"/>
    <w:pPr>
      <w:ind w:left="720"/>
      <w:contextualSpacing/>
    </w:pPr>
  </w:style>
  <w:style w:type="character" w:styleId="Lienhypertexte">
    <w:name w:val="Hyperlink"/>
    <w:basedOn w:val="Policepardfaut"/>
    <w:uiPriority w:val="99"/>
    <w:semiHidden/>
    <w:unhideWhenUsed/>
    <w:rsid w:val="008F4975"/>
    <w:rPr>
      <w:color w:val="0000FF"/>
      <w:u w:val="single"/>
    </w:rPr>
  </w:style>
  <w:style w:type="paragraph" w:styleId="NormalWeb">
    <w:name w:val="Normal (Web)"/>
    <w:basedOn w:val="Normal"/>
    <w:uiPriority w:val="99"/>
    <w:semiHidden/>
    <w:unhideWhenUsed/>
    <w:rsid w:val="009839D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983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E7BB9"/>
    <w:pPr>
      <w:tabs>
        <w:tab w:val="center" w:pos="4536"/>
        <w:tab w:val="right" w:pos="9072"/>
      </w:tabs>
      <w:spacing w:after="0" w:line="240" w:lineRule="auto"/>
    </w:pPr>
  </w:style>
  <w:style w:type="character" w:customStyle="1" w:styleId="En-tteCar">
    <w:name w:val="En-tête Car"/>
    <w:basedOn w:val="Policepardfaut"/>
    <w:link w:val="En-tte"/>
    <w:uiPriority w:val="99"/>
    <w:rsid w:val="008E7BB9"/>
  </w:style>
  <w:style w:type="paragraph" w:styleId="Pieddepage">
    <w:name w:val="footer"/>
    <w:basedOn w:val="Normal"/>
    <w:link w:val="PieddepageCar"/>
    <w:uiPriority w:val="99"/>
    <w:unhideWhenUsed/>
    <w:rsid w:val="008E7B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7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521</Words>
  <Characters>2868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7</cp:revision>
  <dcterms:created xsi:type="dcterms:W3CDTF">2023-12-01T15:50:00Z</dcterms:created>
  <dcterms:modified xsi:type="dcterms:W3CDTF">2024-01-12T15:31:00Z</dcterms:modified>
</cp:coreProperties>
</file>