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/>
      <w:bookmarkStart w:id="0" w:name="_GoBack"/>
      <w:r/>
      <w:bookmarkEnd w:id="0"/>
      <w:r>
        <w:rPr>
          <w:rFonts w:ascii="Arial" w:hAnsi="Arial" w:cs="Arial"/>
          <w:b/>
          <w:color w:val="0070C0"/>
          <w:sz w:val="28"/>
          <w:szCs w:val="28"/>
        </w:rPr>
        <w:t xml:space="preserve">ÉCHELLE DESCRIPTIVE</w:t>
      </w:r>
      <w:r/>
    </w:p>
    <w:p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MATHÉMATIQUES – PHYSIQUE – CHIMIE</w:t>
      </w:r>
      <w:r/>
    </w:p>
    <w:p>
      <w:pPr>
        <w:jc w:val="right"/>
        <w:rPr>
          <w:rFonts w:ascii="Arial" w:hAnsi="Arial" w:cs="Arial"/>
          <w:b/>
          <w:i/>
          <w:color w:val="0070C0"/>
          <w:sz w:val="16"/>
          <w:szCs w:val="16"/>
        </w:rPr>
      </w:pPr>
      <w:r>
        <w:rPr>
          <w:rFonts w:ascii="Arial" w:hAnsi="Arial" w:cs="Arial"/>
          <w:b/>
          <w:i/>
          <w:color w:val="0070C0"/>
          <w:sz w:val="16"/>
          <w:szCs w:val="16"/>
        </w:rPr>
        <w:t xml:space="preserve">Proposition académie de Nantes, </w:t>
      </w:r>
      <w:r>
        <w:rPr>
          <w:rFonts w:ascii="Arial" w:hAnsi="Arial" w:cs="Arial"/>
          <w:b/>
          <w:i/>
          <w:color w:val="0070C0"/>
          <w:sz w:val="16"/>
          <w:szCs w:val="16"/>
        </w:rPr>
        <w:t xml:space="preserve">màj</w:t>
      </w:r>
      <w:r>
        <w:rPr>
          <w:rFonts w:ascii="Arial" w:hAnsi="Arial" w:cs="Arial"/>
          <w:b/>
          <w:i/>
          <w:color w:val="0070C0"/>
          <w:sz w:val="16"/>
          <w:szCs w:val="16"/>
        </w:rPr>
        <w:t xml:space="preserve">. </w:t>
      </w:r>
      <w:r>
        <w:rPr>
          <w:rFonts w:ascii="Arial" w:hAnsi="Arial" w:cs="Arial"/>
          <w:b/>
          <w:i/>
          <w:color w:val="0070C0"/>
          <w:sz w:val="16"/>
          <w:szCs w:val="16"/>
        </w:rPr>
        <w:t xml:space="preserve">Avril 2022</w:t>
      </w:r>
      <w:r/>
    </w:p>
    <w:p>
      <w:pPr>
        <w:pStyle w:val="695"/>
        <w:numPr>
          <w:ilvl w:val="0"/>
          <w:numId w:val="1"/>
        </w:numPr>
        <w:ind w:left="-142"/>
        <w:jc w:val="both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L’échelle ci-dessous présente des </w:t>
      </w:r>
      <w:r>
        <w:rPr>
          <w:rFonts w:ascii="Arial" w:hAnsi="Arial" w:cs="Arial"/>
          <w:sz w:val="20"/>
          <w:szCs w:val="20"/>
        </w:rPr>
        <w:t xml:space="preserve">descripteurs pour chacun des niveaux de maîtrise de des</w:t>
      </w:r>
      <w:r>
        <w:rPr>
          <w:rFonts w:ascii="Arial" w:hAnsi="Arial" w:cs="Arial"/>
          <w:sz w:val="20"/>
          <w:szCs w:val="20"/>
        </w:rPr>
        <w:t xml:space="preserve"> compétences de la grille nationale.</w:t>
      </w:r>
      <w:r>
        <w:rPr>
          <w:rFonts w:ascii="Arial" w:hAnsi="Arial" w:cs="Arial"/>
          <w:sz w:val="20"/>
          <w:szCs w:val="20"/>
        </w:rPr>
        <w:t xml:space="preserve"> Il a été choisi de construire cette échelle sur quatre niveaux de maîtrise.</w:t>
      </w:r>
      <w:r/>
    </w:p>
    <w:p>
      <w:pPr>
        <w:pStyle w:val="695"/>
        <w:numPr>
          <w:ilvl w:val="0"/>
          <w:numId w:val="1"/>
        </w:numPr>
        <w:ind w:left="-142"/>
        <w:jc w:val="both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L’élément central de la mise en œuvre de ces compétences est une situation problématisée permettant d’observer la démarche scientifique développée par l’élève</w:t>
      </w:r>
      <w:r>
        <w:rPr>
          <w:rFonts w:ascii="Arial" w:hAnsi="Arial" w:cs="Arial"/>
          <w:sz w:val="20"/>
          <w:szCs w:val="20"/>
        </w:rPr>
        <w:t xml:space="preserve"> au cours de la résolution du problème.</w:t>
      </w:r>
      <w:r/>
    </w:p>
    <w:p>
      <w:pPr>
        <w:pStyle w:val="695"/>
        <w:numPr>
          <w:ilvl w:val="0"/>
          <w:numId w:val="1"/>
        </w:numPr>
        <w:ind w:left="-142"/>
        <w:jc w:val="both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échelle descriptive se veut globale et synthétique</w:t>
      </w:r>
      <w:r>
        <w:rPr>
          <w:rFonts w:ascii="Arial" w:hAnsi="Arial" w:cs="Arial"/>
          <w:sz w:val="20"/>
          <w:szCs w:val="20"/>
        </w:rPr>
        <w:t xml:space="preserve"> pour répondre à la diversité des publics ; elle </w:t>
      </w:r>
      <w:r>
        <w:rPr>
          <w:rFonts w:ascii="Arial" w:hAnsi="Arial" w:cs="Arial"/>
          <w:sz w:val="20"/>
          <w:szCs w:val="20"/>
        </w:rPr>
        <w:t xml:space="preserve">peut être utilisée à tous les </w:t>
      </w:r>
      <w:r>
        <w:rPr>
          <w:rFonts w:ascii="Arial" w:hAnsi="Arial" w:cs="Arial"/>
          <w:sz w:val="20"/>
          <w:szCs w:val="20"/>
        </w:rPr>
        <w:t xml:space="preserve">niveaux de formation.</w:t>
      </w:r>
      <w:r/>
    </w:p>
    <w:p>
      <w:pPr>
        <w:pStyle w:val="695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/>
    </w:p>
    <w:tbl>
      <w:tblPr>
        <w:tblW w:w="5390" w:type="pct"/>
        <w:jc w:val="center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1145"/>
        <w:gridCol w:w="1114"/>
        <w:gridCol w:w="1774"/>
        <w:gridCol w:w="1901"/>
        <w:gridCol w:w="1901"/>
        <w:gridCol w:w="1942"/>
      </w:tblGrid>
      <w:tr>
        <w:trPr>
          <w:jc w:val="center"/>
        </w:trPr>
        <w:tc>
          <w:tcPr>
            <w:gridSpan w:val="2"/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156" w:type="pct"/>
            <w:textDirection w:val="lrTb"/>
            <w:noWrap w:val="false"/>
          </w:tcPr>
          <w:p>
            <w:pPr>
              <w:pStyle w:val="697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Les 5 compétences</w:t>
            </w:r>
            <w:r/>
          </w:p>
          <w:p>
            <w:pPr>
              <w:pStyle w:val="697"/>
              <w:jc w:val="center"/>
              <w:rPr>
                <w:rFonts w:ascii="Marianne" w:hAnsi="Marianne" w:cs="Arial"/>
                <w:bCs/>
                <w:i/>
                <w:sz w:val="16"/>
                <w:szCs w:val="16"/>
              </w:rPr>
            </w:pPr>
            <w:r>
              <w:rPr>
                <w:rFonts w:ascii="Marianne" w:hAnsi="Marianne" w:cs="Arial"/>
                <w:bCs/>
                <w:i/>
                <w:sz w:val="16"/>
                <w:szCs w:val="16"/>
              </w:rPr>
              <w:t xml:space="preserve">Capacités associées en </w:t>
            </w:r>
            <w:r>
              <w:rPr>
                <w:rFonts w:ascii="Marianne" w:hAnsi="Marianne" w:cs="Arial"/>
                <w:bCs/>
                <w:i/>
                <w:color w:val="7030A0"/>
                <w:sz w:val="16"/>
                <w:szCs w:val="16"/>
              </w:rPr>
              <w:t xml:space="preserve">M</w:t>
            </w:r>
            <w:r>
              <w:rPr>
                <w:rFonts w:ascii="Marianne" w:hAnsi="Marianne" w:cs="Arial"/>
                <w:bCs/>
                <w:i/>
                <w:sz w:val="16"/>
                <w:szCs w:val="16"/>
              </w:rPr>
              <w:t xml:space="preserve"> et en </w:t>
            </w:r>
            <w:r>
              <w:rPr>
                <w:rFonts w:ascii="Marianne" w:hAnsi="Marianne" w:cs="Arial"/>
                <w:bCs/>
                <w:i/>
                <w:color w:val="00B050"/>
                <w:sz w:val="16"/>
                <w:szCs w:val="16"/>
              </w:rPr>
              <w:t xml:space="preserve">PC</w:t>
            </w:r>
            <w:r>
              <w:rPr>
                <w:rStyle w:val="702"/>
                <w:rFonts w:ascii="Marianne" w:hAnsi="Marianne" w:cs="Arial"/>
                <w:bCs/>
                <w:i/>
                <w:color w:val="00B050"/>
                <w:sz w:val="16"/>
                <w:szCs w:val="16"/>
              </w:rPr>
              <w:footnoteReference w:id="2"/>
            </w:r>
            <w:r/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907" w:type="pct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Maîtrise insuffisante</w:t>
            </w:r>
            <w:r/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Maîtrise fragile</w:t>
            </w:r>
            <w:r/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Maîtrise satisfaisante</w:t>
            </w:r>
            <w:r/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Align w:val="center"/>
            <w:textDirection w:val="lrTb"/>
            <w:noWrap w:val="false"/>
          </w:tcPr>
          <w:p>
            <w:pPr>
              <w:pStyle w:val="697"/>
              <w:jc w:val="center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Très bonne maîtrise</w:t>
            </w:r>
            <w:r/>
          </w:p>
        </w:tc>
      </w:tr>
      <w:tr>
        <w:trPr>
          <w:jc w:val="center"/>
          <w:trHeight w:val="179"/>
        </w:trPr>
        <w:tc>
          <w:tcPr>
            <w:gridSpan w:val="2"/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11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S'APPROPRIER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07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relève des informations de manière inadéquate.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extrait les informations utiles avec de l’aide. </w:t>
            </w:r>
            <w:r/>
          </w:p>
          <w:p>
            <w:pPr>
              <w:pStyle w:val="697"/>
              <w:rPr>
                <w:rFonts w:ascii="Marianne" w:hAnsi="Marianne" w:cs="Arial"/>
                <w:strike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strike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strike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identifie le problème posé avec aide et extrait les informations utiles.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right w:val="single" w:color="000000" w:sz="1" w:space="0"/>
            </w:tcBorders>
            <w:tcW w:w="993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strike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reformule le problème posé en indiquant les informations utiles à sa résolution.</w:t>
            </w:r>
            <w:r/>
          </w:p>
        </w:tc>
      </w:tr>
      <w:tr>
        <w:trPr>
          <w:jc w:val="center"/>
          <w:trHeight w:val="654"/>
        </w:trPr>
        <w:tc>
          <w:tcPr>
            <w:gridSpan w:val="2"/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11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sz w:val="12"/>
                <w:szCs w:val="12"/>
              </w:rPr>
              <w:t xml:space="preserve">Rechercher extraire et organiser l'information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07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</w:tr>
      <w:tr>
        <w:trPr>
          <w:jc w:val="center"/>
          <w:trHeight w:val="259"/>
        </w:trPr>
        <w:tc>
          <w:tcPr>
            <w:gridSpan w:val="2"/>
            <w:shd w:val="clear" w:color="auto" w:fill="auto"/>
            <w:tcBorders>
              <w:left w:val="single" w:color="000000" w:sz="1" w:space="0"/>
              <w:bottom w:val="single" w:color="auto" w:sz="4" w:space="0"/>
            </w:tcBorders>
            <w:tcW w:w="11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ANALYSER / RAISONNER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07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initie une démarche de questionnements.</w:t>
            </w:r>
            <w:r>
              <w:rPr>
                <w:rFonts w:ascii="Marianne" w:hAnsi="Marianne"/>
                <w:sz w:val="16"/>
                <w:szCs w:val="16"/>
                <w:lang w:eastAsia="fr-FR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identifie une ou des hypothèses et conçoit tout ou partie de la proposition de résolution avec une aide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identifie une ou des hypothèses et conçoit tout ou partie de la proposition de résolution 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right w:val="single" w:color="000000" w:sz="1" w:space="0"/>
            </w:tcBorders>
            <w:tcW w:w="993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propose une stratégie de résolution en anticipant la validation ou l’infirmation de son hypothèse</w:t>
            </w:r>
            <w:r/>
          </w:p>
        </w:tc>
      </w:tr>
      <w:tr>
        <w:trPr>
          <w:jc w:val="center"/>
          <w:trHeight w:val="1492"/>
        </w:trPr>
        <w:tc>
          <w:tcPr>
            <w:shd w:val="clear" w:color="auto" w:fill="auto"/>
            <w:tcBorders>
              <w:left w:val="single" w:color="000000" w:sz="1" w:space="0"/>
              <w:bottom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Émettre des conjectures, une hypothèse</w:t>
            </w:r>
            <w:r>
              <w:rPr>
                <w:rFonts w:ascii="Calibri" w:hAnsi="Calibri" w:cs="Calibri"/>
                <w:i/>
                <w:iCs/>
                <w:color w:val="7030A0"/>
                <w:sz w:val="12"/>
                <w:szCs w:val="12"/>
              </w:rPr>
              <w:t xml:space="preserve"> </w:t>
            </w: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;</w:t>
            </w:r>
            <w:r/>
          </w:p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color w:val="7030A0"/>
                <w:sz w:val="12"/>
                <w:szCs w:val="12"/>
              </w:rPr>
              <w:t xml:space="preserve">Proposer, choisir une méthode de résolution, un protocole expérimental. </w:t>
            </w:r>
            <w:r/>
          </w:p>
          <w:p>
            <w:pPr>
              <w:spacing w:after="0" w:line="240" w:lineRule="auto"/>
              <w:rPr>
                <w:rFonts w:ascii="Marianne" w:hAnsi="Marianne" w:cs="Arial"/>
                <w:b/>
                <w:bCs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color w:val="7030A0"/>
                <w:sz w:val="12"/>
                <w:szCs w:val="12"/>
              </w:rPr>
              <w:t xml:space="preserve">Élaborer un algorithme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auto" w:sz="4" w:space="0"/>
            </w:tcBorders>
            <w:tcW w:w="570" w:type="pct"/>
            <w:textDirection w:val="lrTb"/>
            <w:noWrap w:val="false"/>
          </w:tcPr>
          <w:p>
            <w:pPr>
              <w:pStyle w:val="695"/>
              <w:spacing w:after="0"/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Formuler des hypothèses. </w:t>
            </w:r>
            <w:r/>
          </w:p>
          <w:p>
            <w:pPr>
              <w:pStyle w:val="695"/>
              <w:spacing w:after="0"/>
              <w:rPr>
                <w:rFonts w:ascii="Marianne" w:hAnsi="Marianne" w:cs="Arial"/>
                <w:i/>
                <w:iCs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Proposer , choisir une méthode de résolution ou un protocole expérimental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07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</w:tr>
      <w:tr>
        <w:trPr>
          <w:jc w:val="center"/>
          <w:trHeight w:val="35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11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REALISER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07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choisit ou met en œuvre un protocole/une méthode incorrect (e)</w:t>
            </w:r>
            <w:r>
              <w:rPr>
                <w:rFonts w:ascii="Marianne" w:hAnsi="Marianne"/>
                <w:sz w:val="16"/>
                <w:szCs w:val="16"/>
                <w:lang w:eastAsia="fr-FR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mobilise quelques capacités et connaissances du programme et exécute une méthode ou un protocole avec une aide.</w:t>
            </w:r>
            <w:r/>
          </w:p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spacing w:line="100" w:lineRule="atLeast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mobilise les capacités et connaissances du programme et exécute une méthode ou un protocole.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right w:val="single" w:color="000000" w:sz="1" w:space="0"/>
            </w:tcBorders>
            <w:tcW w:w="993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mobilise les capacités et connaissances du programme et exécute une méthode ou un protocole, l'explique et le justifie de façon rigoureuse.</w:t>
            </w:r>
            <w:r/>
          </w:p>
        </w:tc>
      </w:tr>
      <w:tr>
        <w:trPr>
          <w:jc w:val="center"/>
          <w:trHeight w:val="97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Mettre en œuvre une méthode de résolution, des algorithmes</w:t>
            </w:r>
            <w:r/>
          </w:p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Utiliser un modèle, représenter, calculer.</w:t>
            </w:r>
            <w:r/>
          </w:p>
          <w:p>
            <w:pPr>
              <w:spacing w:after="0" w:line="240" w:lineRule="auto"/>
              <w:rPr>
                <w:rFonts w:ascii="Marianne" w:hAnsi="Marianne" w:cs="Arial"/>
                <w:b/>
                <w:bCs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Expérimenter , </w:t>
            </w: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faire une</w:t>
            </w:r>
            <w:r>
              <w:rPr>
                <w:rFonts w:ascii="Marianne" w:hAnsi="Marianne" w:cs="Arial"/>
                <w:i/>
                <w:iCs/>
                <w:color w:val="7030A0"/>
                <w:sz w:val="12"/>
                <w:szCs w:val="12"/>
              </w:rPr>
              <w:t xml:space="preserve"> simulation.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570" w:type="pct"/>
            <w:textDirection w:val="lrTb"/>
            <w:noWrap w:val="false"/>
          </w:tcPr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Mettre en œuvre une méthode de résolution, un protocole expérimental.</w:t>
            </w:r>
            <w:r/>
          </w:p>
          <w:p>
            <w:pPr>
              <w:pStyle w:val="695"/>
              <w:spacing w:after="0" w:line="240" w:lineRule="auto"/>
              <w:rPr>
                <w:rFonts w:ascii="Marianne" w:hAnsi="Marianne" w:cs="Arial"/>
                <w:b/>
                <w:bCs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Utiliser un modèle, représenter, calculer, effectuer une simulation.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07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spacing w:line="100" w:lineRule="atLeast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</w:tr>
      <w:tr>
        <w:trPr>
          <w:jc w:val="center"/>
          <w:trHeight w:val="34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11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VALIDER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07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donne les résultats obtenus.</w:t>
            </w:r>
            <w:r>
              <w:rPr>
                <w:rFonts w:ascii="Marianne" w:hAnsi="Marianne"/>
                <w:sz w:val="16"/>
                <w:szCs w:val="16"/>
                <w:lang w:eastAsia="fr-FR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contrôle la cohérence des résultats obtenus et les exploite avec aide</w:t>
            </w:r>
            <w:r>
              <w:rPr>
                <w:rFonts w:ascii="Calibri" w:hAnsi="Calibri" w:cs="Calibri"/>
                <w:color w:val="0070C0"/>
                <w:sz w:val="16"/>
                <w:szCs w:val="16"/>
              </w:rPr>
              <w:t xml:space="preserve"> </w:t>
            </w: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: il tire profit des indications apportées.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contrôle la cohérence des résultats obtenus et les exploite pour valider ou infirmer son hypothèse de départ.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right w:val="single" w:color="000000" w:sz="1" w:space="0"/>
            </w:tcBorders>
            <w:tcW w:w="993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interprète les résultats obtenus et tire une conclusion en faisant preuve d’esprit critique.</w:t>
            </w:r>
            <w:r/>
          </w:p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Il argumente ses choix.</w:t>
            </w:r>
            <w:r/>
          </w:p>
        </w:tc>
      </w:tr>
      <w:tr>
        <w:trPr>
          <w:jc w:val="center"/>
          <w:trHeight w:val="611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i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color w:val="7030A0"/>
                <w:sz w:val="12"/>
                <w:szCs w:val="12"/>
              </w:rPr>
              <w:t xml:space="preserve">Critiquer un résultat, argumenter.</w:t>
            </w:r>
            <w:r/>
          </w:p>
          <w:p>
            <w:pPr>
              <w:pStyle w:val="697"/>
              <w:rPr>
                <w:rFonts w:ascii="Marianne" w:hAnsi="Marianne" w:cs="Arial"/>
                <w:i/>
                <w:color w:val="7030A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color w:val="7030A0"/>
                <w:sz w:val="12"/>
                <w:szCs w:val="12"/>
              </w:rPr>
              <w:t xml:space="preserve">Contrôler la vraisemblance d’une conjecture.</w:t>
            </w:r>
            <w:r/>
          </w:p>
          <w:p>
            <w:pPr>
              <w:pStyle w:val="697"/>
              <w:rPr>
                <w:rFonts w:ascii="Marianne" w:hAnsi="Marianne" w:cs="Arial"/>
                <w:b/>
                <w:bCs/>
                <w:i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color w:val="7030A0"/>
                <w:sz w:val="12"/>
                <w:szCs w:val="12"/>
              </w:rPr>
              <w:t xml:space="preserve">Mener un raisonnement logique et établir une conclusion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W w:w="570" w:type="pct"/>
            <w:textDirection w:val="lrTb"/>
            <w:noWrap w:val="false"/>
          </w:tcPr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Commenter un résultat, argumenter.</w:t>
            </w:r>
            <w:r/>
          </w:p>
          <w:p>
            <w:pPr>
              <w:pStyle w:val="695"/>
              <w:spacing w:after="0" w:line="240" w:lineRule="auto"/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iCs/>
                <w:color w:val="00B050"/>
                <w:sz w:val="12"/>
                <w:szCs w:val="12"/>
              </w:rPr>
              <w:t xml:space="preserve">Contrôler la vraisemblance d’une hypothèse, de la valeur d’une mesure</w:t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1" w:space="0"/>
            </w:tcBorders>
            <w:tcW w:w="907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Align w:val="center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</w:r>
            <w:r/>
          </w:p>
        </w:tc>
      </w:tr>
      <w:tr>
        <w:trPr>
          <w:jc w:val="center"/>
          <w:trHeight w:val="19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11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COMMUNIQUER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07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L'élève propose des éléments de réponse pour rendre compte à l’oral ou à l’écrit, d’une partie de sa démarche avec aide.</w:t>
            </w:r>
            <w:r>
              <w:rPr>
                <w:rFonts w:ascii="Marianne" w:hAnsi="Marianne"/>
                <w:sz w:val="16"/>
                <w:szCs w:val="16"/>
                <w:lang w:eastAsia="fr-FR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rend compte, à l’oral ou à l’écrit, sa démarche de résolution avec aide.</w:t>
            </w:r>
            <w:r>
              <w:rPr>
                <w:rFonts w:ascii="Marianne" w:hAnsi="Marianne" w:cs="Arial"/>
                <w:sz w:val="16"/>
                <w:szCs w:val="16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</w:tcBorders>
            <w:tcW w:w="972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rend compte, à l’oral et à l’écrit, sa démarche de résolution.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right w:val="single" w:color="000000" w:sz="1" w:space="0"/>
            </w:tcBorders>
            <w:tcW w:w="993" w:type="pct"/>
            <w:vAlign w:val="center"/>
            <w:vMerge w:val="restart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color w:val="0070C0"/>
                <w:sz w:val="16"/>
                <w:szCs w:val="16"/>
              </w:rPr>
              <w:t xml:space="preserve">L’élève explicite les étapes de sa démarche de résolution par une production orale ou écrite en utilisant le vocabulaire scientifique adapté.</w:t>
            </w:r>
            <w:r/>
          </w:p>
        </w:tc>
      </w:tr>
      <w:tr>
        <w:trPr>
          <w:jc w:val="center"/>
          <w:trHeight w:val="48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1" w:space="0"/>
              <w:bottom w:val="single" w:color="auto" w:sz="4" w:space="0"/>
            </w:tcBorders>
            <w:tcW w:w="11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Marianne" w:hAnsi="Marianne" w:cs="Arial"/>
                <w:i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sz w:val="12"/>
                <w:szCs w:val="12"/>
              </w:rPr>
              <w:t xml:space="preserve">Rendre compte d’une démarche, d’un résultat, à l’oral ou à l’écrit, à l’aide d’outils et d’un langage approprié.</w:t>
            </w:r>
            <w:r/>
          </w:p>
          <w:p>
            <w:pPr>
              <w:spacing w:after="0" w:line="240" w:lineRule="auto"/>
              <w:rPr>
                <w:rFonts w:ascii="Marianne" w:hAnsi="Marianne" w:cs="Arial"/>
                <w:b/>
                <w:bCs/>
                <w:i/>
                <w:sz w:val="12"/>
                <w:szCs w:val="12"/>
              </w:rPr>
            </w:pPr>
            <w:r>
              <w:rPr>
                <w:rFonts w:ascii="Marianne" w:hAnsi="Marianne" w:cs="Arial"/>
                <w:i/>
                <w:sz w:val="12"/>
                <w:szCs w:val="12"/>
              </w:rPr>
              <w:t xml:space="preserve">Expliquer une démarche.</w:t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07" w:type="pct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i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i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i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i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972" w:type="pct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i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i/>
                <w:color w:val="0070C0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93" w:type="pct"/>
            <w:vMerge w:val="continue"/>
            <w:textDirection w:val="lrTb"/>
            <w:noWrap w:val="false"/>
          </w:tcPr>
          <w:p>
            <w:pPr>
              <w:pStyle w:val="697"/>
              <w:rPr>
                <w:rFonts w:ascii="Marianne" w:hAnsi="Marianne" w:cs="Arial"/>
                <w:i/>
                <w:color w:val="0070C0"/>
                <w:sz w:val="16"/>
                <w:szCs w:val="16"/>
              </w:rPr>
            </w:pPr>
            <w:r>
              <w:rPr>
                <w:rFonts w:ascii="Marianne" w:hAnsi="Marianne" w:cs="Arial"/>
                <w:i/>
                <w:color w:val="0070C0"/>
                <w:sz w:val="16"/>
                <w:szCs w:val="16"/>
              </w:rPr>
            </w:r>
            <w:r/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851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rianne">
    <w:panose1 w:val="02000000000000000000"/>
  </w:font>
  <w:font w:name="Wingdings">
    <w:panose1 w:val="05010000000000000000"/>
  </w:font>
  <w:font w:name="Symbol">
    <w:panose1 w:val="05010000000000000000"/>
  </w:font>
  <w:font w:name="SimSun">
    <w:panose1 w:val="02020603020101020101"/>
  </w:font>
  <w:font w:name="Courier New">
    <w:panose1 w:val="02070409020205020404"/>
  </w:font>
  <w:font w:name="Mangal">
    <w:panose1 w:val="020206030504050203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</w:r>
    <w:r/>
  </w:p>
  <w:p>
    <w:pPr>
      <w:pStyle w:val="698"/>
    </w:pPr>
    <w:r>
      <w:rPr>
        <w:rFonts w:asciiTheme="majorHAnsi" w:hAnsiTheme="majorHAnsi" w:eastAsiaTheme="majorEastAsia" w:cstheme="majorBidi"/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383098</wp:posOffset>
              </wp:positionV>
              <wp:extent cx="405517" cy="421419"/>
              <wp:effectExtent l="0" t="0" r="0" b="0"/>
              <wp:wrapNone/>
              <wp:docPr id="1" name="Ellipse 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517" cy="421419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98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3" style="position:absolute;mso-wrap-distance-left:9.0pt;mso-wrap-distance-top:0.0pt;mso-wrap-distance-right:9.0pt;mso-wrap-distance-bottom:0.0pt;z-index:251659264;o:allowoverlap:true;o:allowincell:true;mso-position-horizontal-relative:margin;mso-position-horizontal:center;mso-position-vertical-relative:bottom-margin-area;margin-top:30.2pt;mso-position-vertical:absolute;width:31.9pt;height:33.2pt;v-text-anchor:middle;" coordsize="100000,100000" path="" fillcolor="#40618B" stroked="f">
              <v:path textboxrect="0,0,0,0"/>
              <v:textbox>
                <w:txbxContent>
                  <w:p>
                    <w:pPr>
                      <w:pStyle w:val="698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1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00"/>
      </w:pPr>
      <w:r>
        <w:rPr>
          <w:rStyle w:val="702"/>
        </w:rPr>
        <w:footnoteRef/>
      </w:r>
      <w:r>
        <w:t xml:space="preserve"> Les capacités indiquées sont celles du LSL</w:t>
      </w:r>
      <w:r>
        <w:t xml:space="preserve"> Pro - Arrêté du 17-6-2020 - J.O. du 5-7-2020 publié au </w:t>
      </w:r>
      <w:hyperlink r:id="rId1" w:tooltip="https://www.education.gouv.fr/bo/20/Hebdo28/MENE2012530A.htm" w:history="1">
        <w:r>
          <w:rPr>
            <w:rStyle w:val="704"/>
          </w:rPr>
          <w:t xml:space="preserve">BOEN n°28 du 10 Juillet 2020</w:t>
        </w:r>
      </w:hyperlink>
      <w:r>
        <w:t xml:space="preserve"> - Annexe 1 : </w:t>
      </w:r>
      <w:hyperlink r:id="rId2" w:tooltip="https://cache.media.education.gouv.fr/file/28/61/2/ensel530_annexe1_1305612.pdf" w:history="1">
        <w:r>
          <w:rPr>
            <w:rStyle w:val="704"/>
          </w:rPr>
          <w:t xml:space="preserve">Livret scolaire pour l’examen du baccalauréat professionnel</w:t>
        </w:r>
      </w:hyperlink>
      <w:r>
        <w:t xml:space="preserve"> : classe de première et de terminale.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91"/>
    <w:next w:val="69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9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91"/>
    <w:next w:val="69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9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1"/>
    <w:next w:val="69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9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9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1"/>
    <w:next w:val="69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2"/>
    <w:link w:val="32"/>
    <w:uiPriority w:val="10"/>
    <w:rPr>
      <w:sz w:val="48"/>
      <w:szCs w:val="48"/>
    </w:rPr>
  </w:style>
  <w:style w:type="paragraph" w:styleId="34">
    <w:name w:val="Subtitle"/>
    <w:basedOn w:val="691"/>
    <w:next w:val="69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2"/>
    <w:link w:val="34"/>
    <w:uiPriority w:val="11"/>
    <w:rPr>
      <w:sz w:val="24"/>
      <w:szCs w:val="24"/>
    </w:rPr>
  </w:style>
  <w:style w:type="paragraph" w:styleId="36">
    <w:name w:val="Quote"/>
    <w:basedOn w:val="691"/>
    <w:next w:val="69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1"/>
    <w:next w:val="69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91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92"/>
    <w:link w:val="40"/>
    <w:uiPriority w:val="99"/>
  </w:style>
  <w:style w:type="character" w:styleId="43">
    <w:name w:val="Footer Char"/>
    <w:basedOn w:val="692"/>
    <w:link w:val="698"/>
    <w:uiPriority w:val="99"/>
  </w:style>
  <w:style w:type="paragraph" w:styleId="44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8"/>
    <w:uiPriority w:val="99"/>
  </w:style>
  <w:style w:type="table" w:styleId="46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700"/>
    <w:uiPriority w:val="99"/>
    <w:rPr>
      <w:sz w:val="18"/>
    </w:rPr>
  </w:style>
  <w:style w:type="paragraph" w:styleId="176">
    <w:name w:val="endnote text"/>
    <w:basedOn w:val="69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2"/>
    <w:uiPriority w:val="99"/>
    <w:semiHidden/>
    <w:unhideWhenUsed/>
    <w:rPr>
      <w:vertAlign w:val="superscript"/>
    </w:rPr>
  </w:style>
  <w:style w:type="paragraph" w:styleId="179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Body Text"/>
    <w:basedOn w:val="691"/>
    <w:link w:val="696"/>
    <w:pPr>
      <w:spacing w:after="140" w:line="288" w:lineRule="auto"/>
      <w:widowControl w:val="off"/>
    </w:pPr>
    <w:rPr>
      <w:rFonts w:ascii="Liberation Serif" w:hAnsi="Liberation Serif" w:cs="Mangal" w:eastAsia="SimSun"/>
      <w:sz w:val="24"/>
      <w:szCs w:val="24"/>
      <w:lang w:bidi="hi-IN" w:eastAsia="hi-IN"/>
    </w:rPr>
  </w:style>
  <w:style w:type="character" w:styleId="696" w:customStyle="1">
    <w:name w:val="Corps de texte Car"/>
    <w:basedOn w:val="692"/>
    <w:link w:val="695"/>
    <w:rPr>
      <w:rFonts w:ascii="Liberation Serif" w:hAnsi="Liberation Serif" w:cs="Mangal" w:eastAsia="SimSun"/>
      <w:sz w:val="24"/>
      <w:szCs w:val="24"/>
      <w:lang w:bidi="hi-IN" w:eastAsia="hi-IN"/>
    </w:rPr>
  </w:style>
  <w:style w:type="paragraph" w:styleId="697" w:customStyle="1">
    <w:name w:val="Contenu de tableau"/>
    <w:basedOn w:val="691"/>
    <w:pPr>
      <w:spacing w:after="0" w:line="240" w:lineRule="auto"/>
      <w:widowControl w:val="off"/>
      <w:suppressLineNumbers/>
    </w:pPr>
    <w:rPr>
      <w:rFonts w:ascii="Liberation Serif" w:hAnsi="Liberation Serif" w:cs="Mangal" w:eastAsia="SimSun"/>
      <w:sz w:val="24"/>
      <w:szCs w:val="24"/>
      <w:lang w:bidi="hi-IN" w:eastAsia="hi-IN"/>
    </w:rPr>
  </w:style>
  <w:style w:type="paragraph" w:styleId="698">
    <w:name w:val="Footer"/>
    <w:basedOn w:val="691"/>
    <w:link w:val="69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99" w:customStyle="1">
    <w:name w:val="Pied de page Car"/>
    <w:basedOn w:val="692"/>
    <w:link w:val="698"/>
    <w:uiPriority w:val="99"/>
  </w:style>
  <w:style w:type="paragraph" w:styleId="700">
    <w:name w:val="footnote text"/>
    <w:basedOn w:val="691"/>
    <w:link w:val="7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1" w:customStyle="1">
    <w:name w:val="Note de bas de page Car"/>
    <w:basedOn w:val="692"/>
    <w:link w:val="700"/>
    <w:uiPriority w:val="99"/>
    <w:semiHidden/>
    <w:rPr>
      <w:sz w:val="20"/>
      <w:szCs w:val="20"/>
    </w:rPr>
  </w:style>
  <w:style w:type="character" w:styleId="702">
    <w:name w:val="footnote reference"/>
    <w:basedOn w:val="692"/>
    <w:uiPriority w:val="99"/>
    <w:semiHidden/>
    <w:unhideWhenUsed/>
    <w:rPr>
      <w:vertAlign w:val="superscript"/>
    </w:rPr>
  </w:style>
  <w:style w:type="character" w:styleId="703" w:customStyle="1">
    <w:name w:val="ressource"/>
    <w:basedOn w:val="692"/>
  </w:style>
  <w:style w:type="character" w:styleId="704">
    <w:name w:val="Hyperlink"/>
    <w:basedOn w:val="692"/>
    <w:uiPriority w:val="99"/>
    <w:unhideWhenUsed/>
    <w:rPr>
      <w:color w:val="0000FF"/>
      <w:u w:val="single"/>
    </w:rPr>
  </w:style>
  <w:style w:type="character" w:styleId="705">
    <w:name w:val="FollowedHyperlink"/>
    <w:basedOn w:val="69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education.gouv.fr/bo/20/Hebdo28/MENE2012530A.htm" TargetMode="External"/><Relationship Id="rId2" Type="http://schemas.openxmlformats.org/officeDocument/2006/relationships/hyperlink" Target="https://cache.media.education.gouv.fr/file/28/61/2/ensel530_annexe1_1305612.pdf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3CAD638-CD48-4717-886E-BB71BB3C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Charly.Orsonneau@ac-nantes.fr</cp:lastModifiedBy>
  <cp:revision>3</cp:revision>
  <dcterms:created xsi:type="dcterms:W3CDTF">2022-10-03T07:02:00Z</dcterms:created>
  <dcterms:modified xsi:type="dcterms:W3CDTF">2023-01-17T10:13:49Z</dcterms:modified>
</cp:coreProperties>
</file>