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Math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é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matiques : quat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nouvelles m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é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dailles Fields ouv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ent de nouveaux ch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mins vers la connaissance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3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 MONDE | 01.08.2018 à 15h16 • M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à jour le 02.08.2018 à 08h46 | Par David Larousserie  </w:t>
      </w:r>
    </w:p>
    <w:p>
      <w:pPr>
        <w:rPr>
          <w:rFonts w:ascii="Times New Roman" w:hAnsi="Times New Roman" w:cs="Times New Roman"/>
          <w:color w:val="010302"/>
        </w:rPr>
        <w:spacing w:before="180" w:after="0" w:line="285" w:lineRule="exact"/>
        <w:ind w:left="50" w:right="-11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 pro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otion 2018 des médailles Fields, 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ises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ercredi 1</w:t>
      </w:r>
      <w:r>
        <w:rPr lang="en-US" sz="19" baseline="0" dirty="0">
          <w:jc w:val="left"/>
          <w:rFonts w:ascii="Times New Roman" w:hAnsi="Times New Roman" w:cs="Times New Roman"/>
          <w:color w:val="000000"/>
          <w:sz w:val="19"/>
          <w:szCs w:val="19"/>
          <w:vertAlign w:val="superscript"/>
        </w:rPr>
        <w:t>er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août à Rio de Janeiro,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arque la confirmation de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l’internationalisatio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1"/>
          <w:sz w:val="24"/>
          <w:szCs w:val="24"/>
        </w:rPr>
        <w:t>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mathé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atiques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1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1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ièr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1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fois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1"/>
          <w:sz w:val="24"/>
          <w:szCs w:val="24"/>
        </w:rPr>
        <w:t>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1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congrè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1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l’Unio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1"/>
          <w:sz w:val="24"/>
          <w:szCs w:val="24"/>
        </w:rPr>
        <w:t>n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athématique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internationale, grand-messe quadriennale de la discipline, se tient dans l’hémisphère sud, du 1</w:t>
      </w:r>
      <w:r>
        <w:rPr lang="en-US" sz="19" baseline="0" dirty="0">
          <w:jc w:val="left"/>
          <w:rFonts w:ascii="Times New Roman" w:hAnsi="Times New Roman" w:cs="Times New Roman"/>
          <w:color w:val="000000"/>
          <w:sz w:val="19"/>
          <w:szCs w:val="19"/>
          <w:vertAlign w:val="superscript"/>
        </w:rPr>
        <w:t>er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au 9 août. La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conférenc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s’es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ouvert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proclamatio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lauréat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d’u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n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x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prestigieux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réserv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é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à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chercheur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oin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e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0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.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u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trophé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lauréat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reçoiven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15 000 dollar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canadiens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(10 000 euros).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1" w:after="0" w:line="276" w:lineRule="exact"/>
        <w:ind w:left="50" w:right="-11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Pour 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ièr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foi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depui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1990,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l’Ecole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française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,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qu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brille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habituellemen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t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dan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genre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d’événe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ent,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comm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second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e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natio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n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,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n’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a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e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récipiendaire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’Hexagon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e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e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contenter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a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e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quatre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conférenciers, dont trois femmes, en séance plénière d’une heure, ce qui est néan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oin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une forme de forte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reconnaissance internationale.  </w:t>
      </w:r>
    </w:p>
    <w:p>
      <w:pPr>
        <w:rPr>
          <w:rFonts w:ascii="Times New Roman" w:hAnsi="Times New Roman" w:cs="Times New Roman"/>
          <w:color w:val="010302"/>
        </w:rPr>
        <w:spacing w:before="71" w:after="0" w:line="276" w:lineRule="exact"/>
        <w:ind w:left="50" w:right="-11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Parmi les lauréats, on trouve un chercheur d’origine iranienne, Caucher Birkar (40 ans) et un autre né en Inde et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passé par l’Australie, Akshay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7"/>
          <w:sz w:val="24"/>
          <w:szCs w:val="24"/>
        </w:rPr>
        <w:t>V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enkatesh (36 ans). Caucher Birka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fils d’agriculteurs kurdes, a été initié aux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athématiques par son grand frère avant de quitter son pa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en 2000 pour l’Angleterre, où il obtiendra le statut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 réfugié et un poste de professeur à l’université de Cambridge. C’est le deuxiè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Iranien à être réco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pensé.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 2014, Mar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am Mirzakhani, morte en 2017, avait ouvert la voie, en étant en plus la première femme lauréate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sur 56 mathé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aticiens depuis 1936.  </w:t>
      </w:r>
    </w:p>
    <w:p>
      <w:pPr>
        <w:rPr>
          <w:rFonts w:ascii="Times New Roman" w:hAnsi="Times New Roman" w:cs="Times New Roman"/>
          <w:color w:val="010302"/>
        </w:rPr>
        <w:spacing w:before="71" w:after="0" w:line="276" w:lineRule="exact"/>
        <w:ind w:left="50" w:right="-11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Aksha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y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5"/>
          <w:sz w:val="24"/>
          <w:szCs w:val="24"/>
        </w:rPr>
        <w:t>V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enkates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h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suiv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parent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Australi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e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à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l’âg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e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x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,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pui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brill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e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x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oly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piade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athématiques avant de partir pour les Etats-Unis. Il est prof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sseur à l’université Stanford depuis 2008 et a été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invité en 2018 un an à Princeton. Il est le deuxième mathé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aticien d’origine indienne à être réco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pensé.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2" w:after="0" w:line="275" w:lineRule="exact"/>
        <w:ind w:left="50" w:right="-11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Les deux autres lauréats sont des Européens,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ais dans des pa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finale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ent peu primés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algré leur haut rang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scientifique. Il s’agit de l’Alle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agne avec Peter Scholze (30 ans) et de l’Italie avec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Alessio Figalli (34 ans). C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deux nation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n’avaient été réco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pensées qu’une fois jusqu’à présent. Malgré son jeune âge, Peter Scholze,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professeur à l’université de Bonn, ne bat pas le record de Jean-Pierre Serre, primé en 1954 à 27 ans.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3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Lire aussi :   Science : com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ent produire Prix Nobel et médaillés Fields ?  </w:t>
      </w:r>
    </w:p>
    <w:p>
      <w:pPr>
        <w:rPr>
          <w:rFonts w:ascii="Times New Roman" w:hAnsi="Times New Roman" w:cs="Times New Roman"/>
          <w:color w:val="010302"/>
        </w:rPr>
        <w:spacing w:before="71" w:after="0" w:line="276" w:lineRule="exact"/>
        <w:ind w:left="50" w:right="-11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noter que la France n’est pas si absente, puisqu’Alessio Figalli a 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f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fectué une partie de sa thèse à l’ENS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sous la codirection de Cédric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V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illani (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édaille Fields 2010 et député LRM depuis 2017) et Luigi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brosio. Il 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également été un an au CNRS, avant même d’avoir sa thèse, qu’il a d’ailleurs ter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inée en un an et demi. Il 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auss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i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é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titulair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e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d’un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chair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à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l’Ecol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technique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.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désor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professeu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r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à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l’Ecole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techniqu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fédéral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e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Zürich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,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n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Suisse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.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position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acadé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(Stanford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,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Cambridge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Zürich)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oignent aussi de cette internationalisation de la science et de la compétition pour attirer les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eilleurs.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3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Ouvrir de nouveaux chemins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89" w:lineRule="exact"/>
        <w:ind w:left="50" w:right="-11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Malgr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é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leur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f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férences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chercheur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t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comm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e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poin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com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e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r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pont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entr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divers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domaines de leur discipline dans l’espoir d’ouvrir de nouveaux chemins vers la connaissance.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rois des quatre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lauréat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6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travaillen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t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6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êm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grand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e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branch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e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trè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6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fondamental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e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6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mathé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atiques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,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a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géo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étrie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algébrique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.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e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ain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t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a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nthès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entr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e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approche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géo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étrique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problème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n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cercl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« dessine » com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le lieu des points équidistants d’un autre) et algébriques (un cercle est aussi une équation x</w:t>
      </w:r>
      <w:r>
        <w:rPr lang="en-US" sz="19" baseline="0" dirty="0">
          <w:jc w:val="left"/>
          <w:rFonts w:ascii="Times New Roman" w:hAnsi="Times New Roman" w:cs="Times New Roman"/>
          <w:color w:val="000000"/>
          <w:sz w:val="19"/>
          <w:szCs w:val="19"/>
          <w:vertAlign w:val="superscript"/>
        </w:rPr>
        <w:t>2</w:t>
      </w:r>
      <w:r>
        <w:rPr>
          <w:rFonts w:ascii="Times New Roman" w:hAnsi="Times New Roman" w:cs="Times New Roman"/>
          <w:sz w:val="19"/>
          <w:szCs w:val="19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+ y</w:t>
      </w:r>
      <w:r>
        <w:rPr lang="en-US" sz="19" baseline="0" dirty="0">
          <w:jc w:val="left"/>
          <w:rFonts w:ascii="Times New Roman" w:hAnsi="Times New Roman" w:cs="Times New Roman"/>
          <w:color w:val="000000"/>
          <w:sz w:val="19"/>
          <w:szCs w:val="19"/>
          <w:vertAlign w:val="superscript"/>
        </w:rPr>
        <w:t>2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= 1, par exe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ple, sur laquelle on peut faire des opérations). Cette double vision permet d’attaquer des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problè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 di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f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férem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ent ; ce qui se trouve di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f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ficile à résoudre en géométrie peut se révéler plus com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 en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algèbre et vice versa.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2" w:after="0" w:line="275" w:lineRule="exact"/>
        <w:ind w:left="50" w:right="-11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précisé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,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l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s’agi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t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plu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souven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t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d’étudie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ensemble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e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solution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d’équation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compliquées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,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à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plusieurs variables, réelles ou co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plexes, avec des coe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f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ficients entiers ou non… Connaître la di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ension de ces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ensembles, leurs formes, leurs limites est plus 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portant et plus profond que de connaître ces solutions dans des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particuliers.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Mai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trè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vite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,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a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devien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t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trè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abstrai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t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r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objet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t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trè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grands,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trè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tordu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t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aux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propriétés m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stérieuses. Bon no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bre de mathé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aticiens essaient donc de les classe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les transformer pour les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rendre plus clairs…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500" w:left="500" w:header="708" w:footer="708" w:gutter="0"/>
          <w:docGrid w:linePitch="360"/>
        </w:sectPr>
        <w:spacing w:before="23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Caucher Birkar a ainsi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ontré que, dans certains cas, on pouvait transformer ces espaces compliqués en objets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1" w:after="0" w:line="276" w:lineRule="exact"/>
        <w:ind w:left="50" w:right="-11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plus si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ples. Reste à généraliser cela à tous les cas…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 « Il est clai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ement le meilleur expert mondial du sujet »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constate Jean-Pierre Demaill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professeur à l’université Grenoble-Alpes.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1" w:after="0" w:line="276" w:lineRule="exact"/>
        <w:ind w:left="50" w:right="-11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Akshay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7"/>
          <w:sz w:val="24"/>
          <w:szCs w:val="24"/>
        </w:rPr>
        <w:t>V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enkatesh, qui est aussi un spécialiste de la théorie des nombres, s’intéresse à des fonctions décrivant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ces espaces en sondant leurs propriétés 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namiques. Com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le son d’une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embrane vibrante peut renseigner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sur la for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du ta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bour dont il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 issu sans qu’on la connaisse a priori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. « Il a su int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odui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e des méthodes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venan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39"/>
          <w:sz w:val="24"/>
          <w:szCs w:val="24"/>
        </w:rPr>
        <w:t>t 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d’au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t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4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domaine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4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38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3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mathématique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4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pou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40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débloque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40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3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le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38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3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situations »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indiqu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Philipp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Michel,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professeur à l’Ecole Pol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technique fédérale de Lausanne.  </w:t>
      </w:r>
    </w:p>
    <w:p>
      <w:pPr>
        <w:rPr>
          <w:rFonts w:ascii="Times New Roman" w:hAnsi="Times New Roman" w:cs="Times New Roman"/>
          <w:color w:val="010302"/>
        </w:rPr>
        <w:spacing w:before="71" w:after="0" w:line="276" w:lineRule="exact"/>
        <w:ind w:left="50" w:right="-11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Enfin, Peter Scholze a pris encore plus de hauteur en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développant, en 2012, une nouvelle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anière de voir tous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problè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,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utilis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outil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extrême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plexes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espace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perfectoïdes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possible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à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représenter… Le même « geste » généralisateur avait été 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f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fectué dans les années 1950-1960 par Alexander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Grothendieck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,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pèr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e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u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renouvea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u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e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a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géo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étri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e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algébriqu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e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t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t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l’héritag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e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continu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e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d’êtr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e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fructueux.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« Peter est d’une rapidité inc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oyable »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esti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Laurent Fa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gues, directeur de recherche au CNRS à l’Institut de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athématiques de Jussieu. 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Il a aussi la capacité à développer une théorie autour d’un p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oblème ».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500" w:left="500" w:header="708" w:footer="708" w:gutter="0"/>
          <w:docGrid w:linePitch="360"/>
        </w:sectPr>
        <w:spacing w:before="71" w:after="0" w:line="276" w:lineRule="exact"/>
        <w:ind w:left="50" w:right="-11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Seul le quatrième lauréat,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Alessio Figalli, n’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 pas dans cette catégorie de la géo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étrie algébrique. Mê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si 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athématiques sont égale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ent très théoriques, elles paraissent plus appliquées. En tout cas, les objets qu’il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étudi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t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« concrets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»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puisqu’i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s’intéress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e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à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équation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générale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régissan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phénomènes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ph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siques lié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au transport de matière, com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la forme 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nuage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ou 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cristaux.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« Alessio était le plus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brillant des élèves sortis de la p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estigieuse Ecole normale de Pise, spécialisée dans l’analyse »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se souvient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Cédric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V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illani.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 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 de pe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ceuse à l’origine d’une fuite dans la Station spatiale internationale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3" w:after="0" w:line="332" w:lineRule="exact"/>
        <w:ind w:left="50" w:right="168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Les enquêteurs ont d’abord cru à une micrométéorite. Mais c’est bien une perceuse qui a fait un trou de 2 mm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dans un vaisseau So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ouz arrimé à l’ISS.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3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 MONDE | 04.09.2018 à 19h12 • M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à jour le 05.09.2018 à 09h40 | Par Hervé Morin  </w:t>
      </w:r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0" w:lineRule="exact"/>
        <w:ind w:left="480" w:right="38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 sabotage à bord de la Station spatiale internationale (ISS) ? Les déclarations de Dmitri Rogozine,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 du consortium spatial public russe Roscosmos, à p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opos d’une fuite survenue il y a quelques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jours dans l’ISS, ont jeté le 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ouble, lundi 3 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mb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e. 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« Il y a eu plusieurs tentatives de percer »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un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 dans le Soyouz MS-09 amarré à l’ISS, a indiqué M. Rogozine, ajoutant que ce 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 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mblait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avoi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été fait pa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une 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« main h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é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sitante »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« De quoi s’agit-il : d’un défaut de fabrication ou d’un acte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pr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é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médité ? »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s’est-il inter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ogé, cité pa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l’agence publique Ria Novosti. 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« Nous étudions la version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[d’un p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è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 causé]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 sur 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-22"/>
          <w:sz w:val="24"/>
          <w:szCs w:val="24"/>
        </w:rPr>
        <w:t>T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erre. Mais il y a aussi une autre version que nous n’excluons pas : une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interférence délibérée dans l’espace »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a-t-il aussi indiqué, rapporte l’AF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P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4" w:after="0" w:line="330" w:lineRule="exact"/>
        <w:ind w:left="50" w:right="38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Dmitri Rogozine a assuré que le 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sponsable allait être démasqué. Il s’agit d’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« une qu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stion d’honneur »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pour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cet ancien vice-premier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inistre nationaliste nom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 au printemps pour reprendre en main une institution dont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 réputation a été récemment ternie par plusieurs scandales financiers et échecs techniques.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0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Adhés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 et résine époxy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4" w:after="0" w:line="330" w:lineRule="exact"/>
        <w:ind w:left="50" w:right="2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’a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f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faire 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onte au 29 ou 30 août, quand une baisse de pression a été enregistrée à bord de la station orbitale. 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’équipage s’est aussitôt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is à la recherche de l’origine de la fuite, fer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ant un à un les di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f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férents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odules pour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remonter à sa source. Cette enquête l’a conduit au vaisseau So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ouz qui, en juin, avait acheminé trois personnes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à bord de l’ISS. Derrière une protection de tissu, un trou de 2 millimètres de diamètre a été découvert, bordé de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gri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f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fures attribuées au dérapage d’un foret sur la surface : le trou n’avait manifeste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ent p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été fait par une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icrométéorite, comme l’avait d’abord soupçonné l’équipage.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330" w:lineRule="exact"/>
        <w:ind w:left="50" w:right="2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 adhésif, puis la pose d’une résine ont permis de colmater la fuite —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non sans hésitation du commandant de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 mission, l’Américain Drew Feustel. Certains médias 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éricains font ainsi état de sa 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ande insistante pour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obtenir un délai de 24 heures afin de réaliser des tests au sol et s’assurer de la bonne étanchéité de la solution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envisagée. Mais le So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ouz étant sous responsabilité russe, la solution à base d’époxy a été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ise en oeuvre 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è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le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31 août, ra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enant une pression normale à bord.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3" w:after="0" w:line="331" w:lineRule="exact"/>
        <w:ind w:left="50" w:right="2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Reste désor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ais à connaître l’origine de ce trou. Ria Novosti, citant des sources anony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 au sein d’Ene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gia, la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société russe cha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gée de la construction des So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ouz et des vaisseaux de ravitaillement Progress, propose une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explication : l’orifice aurait été fait sur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T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erre par erreur lors de l’asse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blage du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odule. Les ouvriers auraient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até le trou avec de la colle, sans en aviser le contrôle qualité. Ce calfeutrage aurait per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is au vaisseau de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passer les tests d’étanchéité avant le décollage de l’engin, le 6 juin, avec à son bord le Russe 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gueï  </w:t>
      </w:r>
    </w:p>
    <w:p>
      <w:pPr>
        <w:rPr>
          <w:rFonts w:ascii="Times New Roman" w:hAnsi="Times New Roman" w:cs="Times New Roman"/>
          <w:color w:val="010302"/>
        </w:rPr>
        <w:spacing w:before="0" w:after="0" w:line="330" w:lineRule="exact"/>
        <w:ind w:left="50" w:right="2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Prokop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v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l’astronaute alle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and de l’Agence spatiale européenne (ESA)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Alexander Gerst et leur collègue de la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Serena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Aunon-Chancello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Mais la colle aurait séché et lâché une fois en orbite.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330" w:lineRule="exact"/>
        <w:ind w:left="50" w:right="2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Cette thèse - plus crédible que celle d’un sabotage par un occupant de la station - n’a pour l’heure pas été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confir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ée par Roscos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os, tandis que 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partenaires américains et européens, NAS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et ESA, se gardent de tout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commentaire. Nul doute cependant que l’a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f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faire suscitera quelques franches explications, notam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ent sur la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question essentielle du contrôle qualité.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500" w:left="500" w:header="708" w:footer="708" w:gutter="0"/>
          <w:docGrid w:linePitch="360"/>
        </w:sectPr>
        <w:spacing w:before="84" w:after="0" w:line="330" w:lineRule="exact"/>
        <w:ind w:left="50" w:right="2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Actuelle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ent, seule la Chine dispose de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ens propres pour envo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 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équipages dans l’espace. Le reste de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 com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unauté internationale dépend des So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ouz russ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pour assurer l’occupation hu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aine de l’ISS : les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Européens n’ont pas de vaisseau habitable, les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éricains n’en ont à la fois plus (depuis la mise à la retraite des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500" w:left="500" w:header="708" w:footer="708" w:gutter="0"/>
          <w:docGrid w:linePitch="360"/>
        </w:sectPr>
        <w:spacing w:before="0" w:after="0" w:line="331" w:lineRule="exact"/>
        <w:ind w:left="50" w:right="95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navettes) et pas encore, les « taxis » spatiaux de SpaceX et Boeing n’étant toujours pas disponibles. Leurs vols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d’essais habités vers la station sont respective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ent prévus en avril et à la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i-2019. Un calendrier qu’il sera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critique de respecter pour assurer une occupation continue de l’ISS.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r/>
    </w:p>
    <w:sectPr>
      <w:type w:val="continuous"/>
      <w:pgSz w:w="11910" w:h="16850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2018-09-09T16:21:11Z</dcterms:created>
  <dcterms:modified xsi:type="dcterms:W3CDTF">2018-09-09T16:21:11Z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