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890637714"/>
        <w:docPartObj>
          <w:docPartGallery w:val="Cover Pages"/>
          <w:docPartUnique/>
        </w:docPartObj>
      </w:sdtPr>
      <w:sdtEndPr/>
      <w:sdtContent>
        <w:p w14:paraId="2DABE1B0" w14:textId="0EF31EBE" w:rsidR="009F47DF" w:rsidRDefault="009F47DF" w:rsidP="009F47DF">
          <w:pPr>
            <w:pStyle w:val="Sansinterligne"/>
          </w:pPr>
          <w:r>
            <w:rPr>
              <w:noProof/>
              <w:lang w:eastAsia="fr-FR"/>
            </w:rPr>
            <mc:AlternateContent>
              <mc:Choice Requires="wps">
                <w:drawing>
                  <wp:anchor distT="0" distB="0" distL="114300" distR="114300" simplePos="0" relativeHeight="251659264" behindDoc="0" locked="0" layoutInCell="1" allowOverlap="1" wp14:anchorId="668754CA" wp14:editId="6EEBF17F">
                    <wp:simplePos x="0" y="0"/>
                    <mc:AlternateContent>
                      <mc:Choice Requires="wp14">
                        <wp:positionH relativeFrom="page">
                          <wp14:pctPosHOffset>2000</wp14:pctPosHOffset>
                        </wp:positionH>
                      </mc:Choice>
                      <mc:Fallback>
                        <wp:positionH relativeFrom="page">
                          <wp:posOffset>213360</wp:posOffset>
                        </wp:positionH>
                      </mc:Fallback>
                    </mc:AlternateContent>
                    <mc:AlternateContent>
                      <mc:Choice Requires="wp14">
                        <wp:positionV relativeFrom="page">
                          <wp14:pctPosVOffset>2000</wp14:pctPosVOffset>
                        </wp:positionV>
                      </mc:Choice>
                      <mc:Fallback>
                        <wp:positionV relativeFrom="page">
                          <wp:posOffset>151130</wp:posOffset>
                        </wp:positionV>
                      </mc:Fallback>
                    </mc:AlternateContent>
                    <wp:extent cx="5363210" cy="9653270"/>
                    <wp:effectExtent l="95250" t="57150" r="90170" b="11430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ln/>
                          </wps:spPr>
                          <wps:style>
                            <a:lnRef idx="0">
                              <a:schemeClr val="accent1"/>
                            </a:lnRef>
                            <a:fillRef idx="3">
                              <a:schemeClr val="accent1"/>
                            </a:fillRef>
                            <a:effectRef idx="3">
                              <a:schemeClr val="accent1"/>
                            </a:effectRef>
                            <a:fontRef idx="minor">
                              <a:schemeClr val="lt1"/>
                            </a:fontRef>
                          </wps:style>
                          <wps:txbx>
                            <w:txbxContent>
                              <w:sdt>
                                <w:sdtPr>
                                  <w:rPr>
                                    <w:caps/>
                                    <w:color w:val="FFFFFF" w:themeColor="background1"/>
                                    <w:sz w:val="80"/>
                                    <w:szCs w:val="80"/>
                                  </w:rPr>
                                  <w:alias w:val="Titre"/>
                                  <w:id w:val="-1275550102"/>
                                  <w:dataBinding w:prefixMappings="xmlns:ns0='http://schemas.openxmlformats.org/package/2006/metadata/core-properties' xmlns:ns1='http://purl.org/dc/elements/1.1/'" w:xpath="/ns0:coreProperties[1]/ns1:title[1]" w:storeItemID="{6C3C8BC8-F283-45AE-878A-BAB7291924A1}"/>
                                  <w:text/>
                                </w:sdtPr>
                                <w:sdtEndPr/>
                                <w:sdtContent>
                                  <w:p w14:paraId="324A62F3" w14:textId="65A52A4C" w:rsidR="009F47DF" w:rsidRDefault="009F47DF">
                                    <w:pPr>
                                      <w:pStyle w:val="Titre"/>
                                      <w:jc w:val="right"/>
                                      <w:rPr>
                                        <w:caps/>
                                        <w:color w:val="FFFFFF" w:themeColor="background1"/>
                                        <w:sz w:val="80"/>
                                        <w:szCs w:val="80"/>
                                      </w:rPr>
                                    </w:pPr>
                                    <w:r>
                                      <w:rPr>
                                        <w:caps/>
                                        <w:color w:val="FFFFFF" w:themeColor="background1"/>
                                        <w:sz w:val="80"/>
                                        <w:szCs w:val="80"/>
                                      </w:rPr>
                                      <w:t>l’épreuve du grand oral</w:t>
                                    </w:r>
                                  </w:p>
                                </w:sdtContent>
                              </w:sdt>
                              <w:p w14:paraId="6AC2DE30" w14:textId="77777777" w:rsidR="009F47DF" w:rsidRDefault="009F47DF">
                                <w:pPr>
                                  <w:spacing w:before="240"/>
                                  <w:ind w:left="720"/>
                                  <w:jc w:val="right"/>
                                  <w:rPr>
                                    <w:color w:val="FFFFFF" w:themeColor="background1"/>
                                  </w:rPr>
                                </w:pPr>
                              </w:p>
                              <w:sdt>
                                <w:sdtPr>
                                  <w:rPr>
                                    <w:color w:val="FFFFFF" w:themeColor="background1"/>
                                    <w:sz w:val="21"/>
                                    <w:szCs w:val="21"/>
                                  </w:rPr>
                                  <w:alias w:val="Résumé"/>
                                  <w:id w:val="-1812170092"/>
                                  <w:dataBinding w:prefixMappings="xmlns:ns0='http://schemas.microsoft.com/office/2006/coverPageProps'" w:xpath="/ns0:CoverPageProperties[1]/ns0:Abstract[1]" w:storeItemID="{55AF091B-3C7A-41E3-B477-F2FDAA23CFDA}"/>
                                  <w:text/>
                                </w:sdtPr>
                                <w:sdtEndPr/>
                                <w:sdtContent>
                                  <w:p w14:paraId="50D2D671" w14:textId="34A13866" w:rsidR="009F47DF" w:rsidRDefault="009F47DF">
                                    <w:pPr>
                                      <w:spacing w:before="240"/>
                                      <w:ind w:left="1008"/>
                                      <w:jc w:val="right"/>
                                      <w:rPr>
                                        <w:color w:val="FFFFFF" w:themeColor="background1"/>
                                        <w:sz w:val="21"/>
                                        <w:szCs w:val="21"/>
                                      </w:rPr>
                                    </w:pPr>
                                    <w:r>
                                      <w:rPr>
                                        <w:color w:val="FFFFFF" w:themeColor="background1"/>
                                        <w:sz w:val="21"/>
                                        <w:szCs w:val="21"/>
                                      </w:rPr>
                                      <w:t>Comment se passe l’épreuve du Grand Oral ?</w:t>
                                    </w:r>
                                  </w:p>
                                </w:sdtContent>
                              </w:sdt>
                              <w:p w14:paraId="27FD65B1" w14:textId="027743F5" w:rsidR="009F47DF" w:rsidRDefault="009F47DF">
                                <w:pPr>
                                  <w:spacing w:before="240"/>
                                  <w:ind w:left="1008"/>
                                  <w:jc w:val="right"/>
                                  <w:rPr>
                                    <w:color w:val="FFFFFF" w:themeColor="background1"/>
                                  </w:rPr>
                                </w:pPr>
                                <w:r>
                                  <w:rPr>
                                    <w:noProof/>
                                    <w:color w:val="FFFFFF" w:themeColor="background1"/>
                                    <w:lang w:eastAsia="fr-FR"/>
                                  </w:rPr>
                                  <w:drawing>
                                    <wp:inline distT="0" distB="0" distL="0" distR="0" wp14:anchorId="3476AD1A" wp14:editId="17F3542E">
                                      <wp:extent cx="4409440" cy="2204720"/>
                                      <wp:effectExtent l="0" t="0" r="0" b="5080"/>
                                      <wp:docPr id="1" name="Image 1" descr="Une image contenant capture d’écran, ordinateur,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apture d’écran, ordinateur, tabl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4409440" cy="2204720"/>
                                              </a:xfrm>
                                              <a:prstGeom prst="rect">
                                                <a:avLst/>
                                              </a:prstGeom>
                                            </pic:spPr>
                                          </pic:pic>
                                        </a:graphicData>
                                      </a:graphic>
                                    </wp:inline>
                                  </w:drawing>
                                </w:r>
                              </w:p>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68754CA" id="Rectangle 16" o:spid="_x0000_s1026" style="position:absolute;margin-left:0;margin-top:0;width:422.3pt;height:760.1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bZCLwIAAJYEAAAOAAAAZHJzL2Uyb0RvYy54bWysVNuO0zAQfUfiHyy/0zRpt2Wjpiu0KxDS&#10;wq524QNcx24sHNuM3Sbl6xk7aZbl8gDixfJkZo7PmUs2V32ryVGAV9ZUNJ/NKRGG21qZfUU/f3r7&#10;6jUlPjBTM22NqOhJeHq1ffli07lSFLaxuhZAEMT4snMVbUJwZZZ53oiW+Zl1wqBTWmhZQBP2WQ2s&#10;Q/RWZ8V8vso6C7UDy4X3+PVmcNJtwpdS8HAnpReB6Ioit5BOSOcuntl2w8o9MNcoPtJg/8CiZcrg&#10;oxPUDQuMHED9AtUqDtZbGWbctpmVUnGRNKCafP6TmseGOZG0YHG8m8rk/x8s/3i8B6Lqii7XOSWG&#10;tdikBywbM3stSL6KFeqcLzHw0d1D1OjdreVfPDqyZ55oeIwhu+6DrRGHHYJNVekltDET9ZI+Ff80&#10;FV/0gXD8eLFYLYoce8TRd7m6WBTr1J6Mled0Bz68E7Yl8VJRQJoJnh1vfYh0WHkOia9pc6YYWQ0y&#10;fDhpMTgfhEThiU5SFUdOXGsgR4bDwjgXJuRRPsJqg9ExSiqtp8RFej3N6p8Sx/iYKtI4/k3ylJFe&#10;tiZMya0yFn73up4oyyF+bNKoO7Yo9LseVcXrztYn7BfYYS9wj/HSWPhGSYc7UVH/9cBAUKLfGxy6&#10;Yr1cFHGLknWZL5dztOCZb5es5cU6BjLDEa2iPMDZuA7D9h0cqH2Dz+VJhrFvcFikSm18ojayx+FP&#10;bRgXNW7Xj3aKevqdbL8DAAD//wMAUEsDBBQABgAIAAAAIQC4Dn9w3AAAAAYBAAAPAAAAZHJzL2Rv&#10;d25yZXYueG1sTI/BTsMwEETvSPyDtUjcqJOolCjEqVBRDzkSChK3bbzEEbEdxU4b/p6FC72MtJrR&#10;zNtyu9hBnGgKvXcK0lUCglzrde86BYfX/V0OIkR0GgfvSME3BdhW11clFtqf3QudmtgJLnGhQAUm&#10;xrGQMrSGLIaVH8mx9+kni5HPqZN6wjOX20FmSbKRFnvHCwZH2hlqv5rZKnjO94fx4S2NTbqra/Oe&#10;1TnOH0rd3ixPjyAiLfE/DL/4jA4VMx397HQQgwJ+JP4pe/l6vQFx5NB9lmQgq1Je4lc/AAAA//8D&#10;AFBLAQItABQABgAIAAAAIQC2gziS/gAAAOEBAAATAAAAAAAAAAAAAAAAAAAAAABbQ29udGVudF9U&#10;eXBlc10ueG1sUEsBAi0AFAAGAAgAAAAhADj9If/WAAAAlAEAAAsAAAAAAAAAAAAAAAAALwEAAF9y&#10;ZWxzLy5yZWxzUEsBAi0AFAAGAAgAAAAhAPI9tkIvAgAAlgQAAA4AAAAAAAAAAAAAAAAALgIAAGRy&#10;cy9lMm9Eb2MueG1sUEsBAi0AFAAGAAgAAAAhALgOf3DcAAAABgEAAA8AAAAAAAAAAAAAAAAAiQQA&#10;AGRycy9kb3ducmV2LnhtbFBLBQYAAAAABAAEAPMAAACSBQAAAAA=&#10;" fillcolor="#254163 [1636]" stroked="f">
                    <v:fill color2="#4477b6 [3012]" rotate="t" angle="180" colors="0 #2c5d98;52429f #3c7bc7;1 #3a7ccb" focus="100%" type="gradient">
                      <o:fill v:ext="view" type="gradientUnscaled"/>
                    </v:fill>
                    <v:shadow on="t" color="black" opacity="22937f" origin=",.5" offset="0,.63889mm"/>
                    <v:textbox inset="21.6pt,1in,21.6pt">
                      <w:txbxContent>
                        <w:sdt>
                          <w:sdtPr>
                            <w:rPr>
                              <w:caps/>
                              <w:color w:val="FFFFFF" w:themeColor="background1"/>
                              <w:sz w:val="80"/>
                              <w:szCs w:val="80"/>
                            </w:rPr>
                            <w:alias w:val="Titre"/>
                            <w:id w:val="-1275550102"/>
                            <w:dataBinding w:prefixMappings="xmlns:ns0='http://schemas.openxmlformats.org/package/2006/metadata/core-properties' xmlns:ns1='http://purl.org/dc/elements/1.1/'" w:xpath="/ns0:coreProperties[1]/ns1:title[1]" w:storeItemID="{6C3C8BC8-F283-45AE-878A-BAB7291924A1}"/>
                            <w:text/>
                          </w:sdtPr>
                          <w:sdtEndPr/>
                          <w:sdtContent>
                            <w:p w14:paraId="324A62F3" w14:textId="65A52A4C" w:rsidR="009F47DF" w:rsidRDefault="009F47DF">
                              <w:pPr>
                                <w:pStyle w:val="Titre"/>
                                <w:jc w:val="right"/>
                                <w:rPr>
                                  <w:caps/>
                                  <w:color w:val="FFFFFF" w:themeColor="background1"/>
                                  <w:sz w:val="80"/>
                                  <w:szCs w:val="80"/>
                                </w:rPr>
                              </w:pPr>
                              <w:r>
                                <w:rPr>
                                  <w:caps/>
                                  <w:color w:val="FFFFFF" w:themeColor="background1"/>
                                  <w:sz w:val="80"/>
                                  <w:szCs w:val="80"/>
                                </w:rPr>
                                <w:t>l’épreuve du grand oral</w:t>
                              </w:r>
                            </w:p>
                          </w:sdtContent>
                        </w:sdt>
                        <w:p w14:paraId="6AC2DE30" w14:textId="77777777" w:rsidR="009F47DF" w:rsidRDefault="009F47DF">
                          <w:pPr>
                            <w:spacing w:before="240"/>
                            <w:ind w:left="720"/>
                            <w:jc w:val="right"/>
                            <w:rPr>
                              <w:color w:val="FFFFFF" w:themeColor="background1"/>
                            </w:rPr>
                          </w:pPr>
                        </w:p>
                        <w:sdt>
                          <w:sdtPr>
                            <w:rPr>
                              <w:color w:val="FFFFFF" w:themeColor="background1"/>
                              <w:sz w:val="21"/>
                              <w:szCs w:val="21"/>
                            </w:rPr>
                            <w:alias w:val="Résumé"/>
                            <w:id w:val="-1812170092"/>
                            <w:dataBinding w:prefixMappings="xmlns:ns0='http://schemas.microsoft.com/office/2006/coverPageProps'" w:xpath="/ns0:CoverPageProperties[1]/ns0:Abstract[1]" w:storeItemID="{55AF091B-3C7A-41E3-B477-F2FDAA23CFDA}"/>
                            <w:text/>
                          </w:sdtPr>
                          <w:sdtEndPr/>
                          <w:sdtContent>
                            <w:p w14:paraId="50D2D671" w14:textId="34A13866" w:rsidR="009F47DF" w:rsidRDefault="009F47DF">
                              <w:pPr>
                                <w:spacing w:before="240"/>
                                <w:ind w:left="1008"/>
                                <w:jc w:val="right"/>
                                <w:rPr>
                                  <w:color w:val="FFFFFF" w:themeColor="background1"/>
                                  <w:sz w:val="21"/>
                                  <w:szCs w:val="21"/>
                                </w:rPr>
                              </w:pPr>
                              <w:r>
                                <w:rPr>
                                  <w:color w:val="FFFFFF" w:themeColor="background1"/>
                                  <w:sz w:val="21"/>
                                  <w:szCs w:val="21"/>
                                </w:rPr>
                                <w:t>Comment se passe l’épreuve du Grand Oral ?</w:t>
                              </w:r>
                            </w:p>
                          </w:sdtContent>
                        </w:sdt>
                        <w:p w14:paraId="27FD65B1" w14:textId="027743F5" w:rsidR="009F47DF" w:rsidRDefault="009F47DF">
                          <w:pPr>
                            <w:spacing w:before="240"/>
                            <w:ind w:left="1008"/>
                            <w:jc w:val="right"/>
                            <w:rPr>
                              <w:color w:val="FFFFFF" w:themeColor="background1"/>
                            </w:rPr>
                          </w:pPr>
                          <w:r>
                            <w:rPr>
                              <w:noProof/>
                              <w:color w:val="FFFFFF" w:themeColor="background1"/>
                            </w:rPr>
                            <w:drawing>
                              <wp:inline distT="0" distB="0" distL="0" distR="0" wp14:anchorId="3476AD1A" wp14:editId="17F3542E">
                                <wp:extent cx="4409440" cy="2204720"/>
                                <wp:effectExtent l="0" t="0" r="0" b="5080"/>
                                <wp:docPr id="1" name="Image 1" descr="Une image contenant capture d’écran, ordinateur,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apture d’écran, ordinateur, table&#10;&#10;Description générée automatiquement"/>
                                        <pic:cNvPicPr/>
                                      </pic:nvPicPr>
                                      <pic:blipFill>
                                        <a:blip r:embed="rId7">
                                          <a:extLst>
                                            <a:ext uri="{28A0092B-C50C-407E-A947-70E740481C1C}">
                                              <a14:useLocalDpi xmlns:a14="http://schemas.microsoft.com/office/drawing/2010/main" val="0"/>
                                            </a:ext>
                                          </a:extLst>
                                        </a:blip>
                                        <a:stretch>
                                          <a:fillRect/>
                                        </a:stretch>
                                      </pic:blipFill>
                                      <pic:spPr>
                                        <a:xfrm>
                                          <a:off x="0" y="0"/>
                                          <a:ext cx="4409440" cy="2204720"/>
                                        </a:xfrm>
                                        <a:prstGeom prst="rect">
                                          <a:avLst/>
                                        </a:prstGeom>
                                      </pic:spPr>
                                    </pic:pic>
                                  </a:graphicData>
                                </a:graphic>
                              </wp:inline>
                            </w:drawing>
                          </w:r>
                        </w:p>
                      </w:txbxContent>
                    </v:textbox>
                    <w10:wrap anchorx="page" anchory="page"/>
                  </v:rect>
                </w:pict>
              </mc:Fallback>
            </mc:AlternateContent>
          </w:r>
          <w:r>
            <w:rPr>
              <w:noProof/>
              <w:lang w:eastAsia="fr-FR"/>
            </w:rPr>
            <mc:AlternateContent>
              <mc:Choice Requires="wps">
                <w:drawing>
                  <wp:anchor distT="0" distB="0" distL="114300" distR="114300" simplePos="0" relativeHeight="251660288" behindDoc="0" locked="0" layoutInCell="1" allowOverlap="1" wp14:anchorId="76CC65CC" wp14:editId="66D01362">
                    <wp:simplePos x="0" y="0"/>
                    <mc:AlternateContent>
                      <mc:Choice Requires="wp14">
                        <wp:positionH relativeFrom="page">
                          <wp14:pctPosHOffset>73000</wp14:pctPosHOffset>
                        </wp:positionH>
                      </mc:Choice>
                      <mc:Fallback>
                        <wp:positionH relativeFrom="page">
                          <wp:posOffset>7804785</wp:posOffset>
                        </wp:positionH>
                      </mc:Fallback>
                    </mc:AlternateContent>
                    <wp:positionV relativeFrom="page">
                      <wp:align>center</wp:align>
                    </wp:positionV>
                    <wp:extent cx="1880870" cy="9655810"/>
                    <wp:effectExtent l="57150" t="57150" r="98425" b="11430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ln/>
                          </wps:spPr>
                          <wps:style>
                            <a:lnRef idx="0">
                              <a:schemeClr val="accent1"/>
                            </a:lnRef>
                            <a:fillRef idx="3">
                              <a:schemeClr val="accent1"/>
                            </a:fillRef>
                            <a:effectRef idx="3">
                              <a:schemeClr val="accent1"/>
                            </a:effectRef>
                            <a:fontRef idx="minor">
                              <a:schemeClr val="lt1"/>
                            </a:fontRef>
                          </wps:style>
                          <wps:txbx>
                            <w:txbxContent>
                              <w:sdt>
                                <w:sdtPr>
                                  <w:rPr>
                                    <w:rFonts w:cstheme="minorBidi"/>
                                    <w:color w:val="FFFFFF" w:themeColor="background1"/>
                                  </w:rPr>
                                  <w:alias w:val="Sous-titre"/>
                                  <w:id w:val="-505288762"/>
                                  <w:dataBinding w:prefixMappings="xmlns:ns0='http://schemas.openxmlformats.org/package/2006/metadata/core-properties' xmlns:ns1='http://purl.org/dc/elements/1.1/'" w:xpath="/ns0:coreProperties[1]/ns1:subject[1]" w:storeItemID="{6C3C8BC8-F283-45AE-878A-BAB7291924A1}"/>
                                  <w:text/>
                                </w:sdtPr>
                                <w:sdtEndPr/>
                                <w:sdtContent>
                                  <w:p w14:paraId="27895264" w14:textId="478647FB" w:rsidR="009F47DF" w:rsidRDefault="003A7F6B">
                                    <w:pPr>
                                      <w:pStyle w:val="Sous-titre"/>
                                      <w:rPr>
                                        <w:rFonts w:cstheme="minorBidi"/>
                                        <w:color w:val="FFFFFF" w:themeColor="background1"/>
                                      </w:rPr>
                                    </w:pPr>
                                    <w:r>
                                      <w:rPr>
                                        <w:rFonts w:cstheme="minorBidi"/>
                                        <w:color w:val="FFFFFF" w:themeColor="background1"/>
                                      </w:rPr>
                                      <w:t>Découvrir-Préparer-Passer l’épreuve du Grand Oral</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6CC65CC" id="Rectangle 472" o:spid="_x0000_s1027" style="position:absolute;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zewIAAE8FAAAOAAAAZHJzL2Uyb0RvYy54bWysVEtv2zAMvg/YfxB0Xx1nfWRGnSJo0WFA&#10;0BZth54ZWUqMyaImKbGzXz9Kdty16w4bdhFE8eP7o84vukaznXS+RlPy/GjCmTQCq9qsS/718frD&#10;jDMfwFSg0ciS76XnF/P3785bW8gpblBX0jFyYnzR2pJvQrBFlnmxkQ34I7TSkFKhayCQ6NZZ5aAl&#10;743OppPJadaiq6xDIb2n16teyefJv1JShFulvAxMl5xyC+l06VzFM5ufQ7F2YDe1GNKAf8iigdpQ&#10;0NHVFQRgW1f/5qqphUOPKhwJbDJUqhYy1UDV5JNX1TxswMpUCzXH27FN/v+5FTe7O8fqquTHZ1PO&#10;DDQ0pHtqG5i1liw+Uota6wtCPtg7F4v0donimydF9kITBT9gOuWaiKUSWZf6vR/7LbvABD3ms9lk&#10;dkZjEaT7dHpyMsvTRDIoDubW+fBZYsPipeSOMkt9ht3Sh5gAFAdIjKbNIak+j5RR2GvZK++lolpT&#10;OqmOyDJ5qR3bAfEDhJAm5LFgcqsNoSNK1VqPhh9T9ETPPxkO+GgqEwP/xni0SJHRhNG4qQ26t6Lr&#10;MWXV44ex+L7u2ILQrbo05FRcfFlhtafBO+w3wltxXVOHl+DDHThaAZoKrXW4pUNpbEuOw42zDbof&#10;b71HPDGTtJy1tFIl99+34CRn+oshzuazKQ2cljBJxydnUxLcC9XqV5XZNpdIc8npC7EiXaNB0Ier&#10;ctg80f4vYlxSgREUveQiuINwGfplpx9EyMUiwWjzLISlebAiOo+djhx67J7A2YFogTh6g4cFhOIV&#10;33pstDS42AZUdSLjc2eHGdDWJjINP0z8Fn6VE+r5H5z/BAAA//8DAFBLAwQUAAYACAAAACEAc3ZA&#10;x9wAAAAGAQAADwAAAGRycy9kb3ducmV2LnhtbEyPUUvEMBCE3wX/Q1jBNy8xYNHa9JDKqRwqePYH&#10;5Jq1LTab2uTuev/e1Rd9GVhmmPm2WM5+EHucYh/IwOVCgUBqguupNVC/ry6uQcRkydkhEBo4YoRl&#10;eXpS2NyFA73hfpNawSUUc2ugS2nMpYxNh97GRRiR2PsIk7eJz6mVbrIHLveD1Epl0tueeKGzI1Yd&#10;Np+bnTdwb1+es6f+AV/VerWu9bF6/KorY87P5rtbEAnn9BeGH3xGh5KZtmFHLorBAD+SfpU9fZNp&#10;EFsOXWmVgSwL+R+//AYAAP//AwBQSwECLQAUAAYACAAAACEAtoM4kv4AAADhAQAAEwAAAAAAAAAA&#10;AAAAAAAAAAAAW0NvbnRlbnRfVHlwZXNdLnhtbFBLAQItABQABgAIAAAAIQA4/SH/1gAAAJQBAAAL&#10;AAAAAAAAAAAAAAAAAC8BAABfcmVscy8ucmVsc1BLAQItABQABgAIAAAAIQB3H/NzewIAAE8FAAAO&#10;AAAAAAAAAAAAAAAAAC4CAABkcnMvZTJvRG9jLnhtbFBLAQItABQABgAIAAAAIQBzdkDH3AAAAAYB&#10;AAAPAAAAAAAAAAAAAAAAANUEAABkcnMvZG93bnJldi54bWxQSwUGAAAAAAQABADzAAAA3gUAAAAA&#10;" fillcolor="#254163 [1636]" stroked="f">
                    <v:fill color2="#4477b6 [3012]" rotate="t" angle="180" colors="0 #2c5d98;52429f #3c7bc7;1 #3a7ccb" focus="100%" type="gradient">
                      <o:fill v:ext="view" type="gradientUnscaled"/>
                    </v:fill>
                    <v:shadow on="t" color="black" opacity="22937f" origin=",.5" offset="0,.63889mm"/>
                    <v:textbox inset="14.4pt,,14.4pt">
                      <w:txbxContent>
                        <w:sdt>
                          <w:sdtPr>
                            <w:rPr>
                              <w:rFonts w:cstheme="minorBidi"/>
                              <w:color w:val="FFFFFF" w:themeColor="background1"/>
                            </w:rPr>
                            <w:alias w:val="Sous-titre"/>
                            <w:id w:val="-505288762"/>
                            <w:dataBinding w:prefixMappings="xmlns:ns0='http://schemas.openxmlformats.org/package/2006/metadata/core-properties' xmlns:ns1='http://purl.org/dc/elements/1.1/'" w:xpath="/ns0:coreProperties[1]/ns1:subject[1]" w:storeItemID="{6C3C8BC8-F283-45AE-878A-BAB7291924A1}"/>
                            <w:text/>
                          </w:sdtPr>
                          <w:sdtEndPr/>
                          <w:sdtContent>
                            <w:p w14:paraId="27895264" w14:textId="478647FB" w:rsidR="009F47DF" w:rsidRDefault="003A7F6B">
                              <w:pPr>
                                <w:pStyle w:val="Sous-titre"/>
                                <w:rPr>
                                  <w:rFonts w:cstheme="minorBidi"/>
                                  <w:color w:val="FFFFFF" w:themeColor="background1"/>
                                </w:rPr>
                              </w:pPr>
                              <w:r>
                                <w:rPr>
                                  <w:rFonts w:cstheme="minorBidi"/>
                                  <w:color w:val="FFFFFF" w:themeColor="background1"/>
                                </w:rPr>
                                <w:t>Découvrir-Préparer-Passer l’épreuve du Grand Oral</w:t>
                              </w:r>
                            </w:p>
                          </w:sdtContent>
                        </w:sdt>
                      </w:txbxContent>
                    </v:textbox>
                    <w10:wrap anchorx="page" anchory="page"/>
                  </v:rect>
                </w:pict>
              </mc:Fallback>
            </mc:AlternateContent>
          </w:r>
        </w:p>
        <w:p w14:paraId="35FDD955" w14:textId="77777777" w:rsidR="009F47DF" w:rsidRDefault="009F47DF">
          <w:pPr>
            <w:framePr w:wrap="around"/>
          </w:pPr>
        </w:p>
        <w:p w14:paraId="34A3E708" w14:textId="4ED2ADBF" w:rsidR="009F47DF" w:rsidRDefault="00DC2BAA">
          <w:pPr>
            <w:framePr w:wrap="auto" w:vAnchor="margin" w:yAlign="inline"/>
            <w:spacing w:after="200" w:line="276" w:lineRule="auto"/>
          </w:pPr>
          <w:r>
            <w:rPr>
              <w:noProof/>
              <w:lang w:eastAsia="fr-FR"/>
            </w:rPr>
            <mc:AlternateContent>
              <mc:Choice Requires="wps">
                <w:drawing>
                  <wp:anchor distT="0" distB="0" distL="114300" distR="114300" simplePos="0" relativeHeight="251661312" behindDoc="0" locked="0" layoutInCell="1" allowOverlap="1" wp14:anchorId="0360512E" wp14:editId="1B0FADF8">
                    <wp:simplePos x="0" y="0"/>
                    <wp:positionH relativeFrom="column">
                      <wp:posOffset>2063750</wp:posOffset>
                    </wp:positionH>
                    <wp:positionV relativeFrom="paragraph">
                      <wp:posOffset>6007735</wp:posOffset>
                    </wp:positionV>
                    <wp:extent cx="4527550" cy="285750"/>
                    <wp:effectExtent l="0" t="0" r="25400" b="19050"/>
                    <wp:wrapNone/>
                    <wp:docPr id="2" name="Zone de texte 2"/>
                    <wp:cNvGraphicFramePr/>
                    <a:graphic xmlns:a="http://schemas.openxmlformats.org/drawingml/2006/main">
                      <a:graphicData uri="http://schemas.microsoft.com/office/word/2010/wordprocessingShape">
                        <wps:wsp>
                          <wps:cNvSpPr txBox="1"/>
                          <wps:spPr>
                            <a:xfrm>
                              <a:off x="0" y="0"/>
                              <a:ext cx="4527550" cy="285750"/>
                            </a:xfrm>
                            <a:prstGeom prst="rect">
                              <a:avLst/>
                            </a:prstGeom>
                            <a:solidFill>
                              <a:schemeClr val="tx2">
                                <a:lumMod val="40000"/>
                                <a:lumOff val="60000"/>
                              </a:schemeClr>
                            </a:solidFill>
                            <a:ln w="6350">
                              <a:solidFill>
                                <a:prstClr val="black"/>
                              </a:solidFill>
                            </a:ln>
                          </wps:spPr>
                          <wps:txbx>
                            <w:txbxContent>
                              <w:p w14:paraId="76EDC3E4" w14:textId="19D6713B" w:rsidR="00DC2BAA" w:rsidRPr="00DC2BAA" w:rsidRDefault="00DC2BAA">
                                <w:pPr>
                                  <w:rPr>
                                    <w:color w:val="FFFFFF" w:themeColor="background1"/>
                                  </w:rPr>
                                </w:pPr>
                                <w:r w:rsidRPr="00DC2BAA">
                                  <w:rPr>
                                    <w:color w:val="FFFFFF" w:themeColor="background1"/>
                                  </w:rPr>
                                  <w:t>L’épreuve : texte officiel et grille d’évaluation page 458 de votre livre de 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360512E" id="_x0000_t202" coordsize="21600,21600" o:spt="202" path="m,l,21600r21600,l21600,xe">
                    <v:stroke joinstyle="miter"/>
                    <v:path gradientshapeok="t" o:connecttype="rect"/>
                  </v:shapetype>
                  <v:shape id="Zone de texte 2" o:spid="_x0000_s1028" type="#_x0000_t202" style="position:absolute;margin-left:162.5pt;margin-top:473.05pt;width:356.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UC5bAIAAOgEAAAOAAAAZHJzL2Uyb0RvYy54bWysVMFu2zAMvQ/YPwi6r068pO2COkXWosOA&#10;ri2QDgV2U2S5MSaLmqTEbr9+T7KTZu1Ow3JQKJJ6JB9Jn513jWZb5XxNpuDjoxFnykgqa/NY8O/3&#10;Vx9OOfNBmFJoMqrgT8rz8/n7d2etnamc1qRL5RhAjJ+1tuDrEOwsy7xcq0b4I7LKwFiRa0TA1T1m&#10;pRMt0Bud5aPRcdaSK60jqbyH9rI38nnCryolw21VeRWYLjhyC+l06VzFM5ufidmjE3ZdyyEN8Q9Z&#10;NKI2CLqHuhRBsI2r30A1tXTkqQpHkpqMqqqWKtWAasajV9Us18KqVAvI8XZPk/9/sPJme+dYXRY8&#10;58yIBi36gUaxUrGguqBYHilqrZ/Bc2nhG7rP1KHVO72HMlbeVa6J/6iJwQ6yn/YEA4lJKCfT/GQ6&#10;hUnClp9OTyADPnt5bZ0PXxQ1LAoFd2hg4lVsr33oXXcuMZgnXZdXtdbpEodGXWjHtgLtDl2enupN&#10;843KXjcZ4dc3HWqMRq8+3qmRSRq9iJLy+iOANqwt+PFHZP0meMxqH3qlhfw5VHaAAHRtABvp7GmL&#10;UuhW3dCBgeoVlU9g2lE/rt7Kqxrw18KHO+Ewn2AQOxducVSakBMNEmdrcs9/00d/jA2snLWY94L7&#10;XxvhFGf6q8FAfRpPJnFB0mUyPclxcYeW1aHFbJoLAsdjbLeVSYz+Qe/EylHzgNVcxKgwCSMRG03Z&#10;iReh30KstlSLRXLCSlgRrs3SyggdOY603ncPwtlhIuJU3tBuM8Ts1WD0vvGlocUmUFWnqYk896wO&#10;9GOdUn+H1Y/7enhPXi8fqPlvAAAA//8DAFBLAwQUAAYACAAAACEALYRvG+IAAAAMAQAADwAAAGRy&#10;cy9kb3ducmV2LnhtbEyPQU/CQBCF7yb8h82QeJNtqRKo3RJCNJGLiehBbkt3aDd2Z0t3geqvdzjp&#10;cd68vPe9Yjm4VpyxD9aTgnSSgECqvLFUK/h4f76bgwhRk9GtJ1TwjQGW5eim0LnxF3rD8zbWgkMo&#10;5FpBE2OXSxmqBp0OE98h8e/ge6cjn30tTa8vHO5aOU2SmXTaEjc0usN1g9XX9uQURJMdVtmTNPL1&#10;xdrPI252m5+dUrfjYfUIIuIQ/8xwxWd0KJlp709kgmgVZNMH3hIVLO5nKYirI8nmLO1ZWqQpyLKQ&#10;/0eUvwAAAP//AwBQSwECLQAUAAYACAAAACEAtoM4kv4AAADhAQAAEwAAAAAAAAAAAAAAAAAAAAAA&#10;W0NvbnRlbnRfVHlwZXNdLnhtbFBLAQItABQABgAIAAAAIQA4/SH/1gAAAJQBAAALAAAAAAAAAAAA&#10;AAAAAC8BAABfcmVscy8ucmVsc1BLAQItABQABgAIAAAAIQBORUC5bAIAAOgEAAAOAAAAAAAAAAAA&#10;AAAAAC4CAABkcnMvZTJvRG9jLnhtbFBLAQItABQABgAIAAAAIQAthG8b4gAAAAwBAAAPAAAAAAAA&#10;AAAAAAAAAMYEAABkcnMvZG93bnJldi54bWxQSwUGAAAAAAQABADzAAAA1QUAAAAA&#10;" fillcolor="#8db3e2 [1311]" strokeweight=".5pt">
                    <v:textbox>
                      <w:txbxContent>
                        <w:p w14:paraId="76EDC3E4" w14:textId="19D6713B" w:rsidR="00DC2BAA" w:rsidRPr="00DC2BAA" w:rsidRDefault="00DC2BAA">
                          <w:pPr>
                            <w:rPr>
                              <w:color w:val="FFFFFF" w:themeColor="background1"/>
                            </w:rPr>
                          </w:pPr>
                          <w:r w:rsidRPr="00DC2BAA">
                            <w:rPr>
                              <w:color w:val="FFFFFF" w:themeColor="background1"/>
                            </w:rPr>
                            <w:t>L’épreuve : texte officiel et grille d’évaluation page 458 de votre livre de SES</w:t>
                          </w:r>
                        </w:p>
                      </w:txbxContent>
                    </v:textbox>
                  </v:shape>
                </w:pict>
              </mc:Fallback>
            </mc:AlternateContent>
          </w:r>
          <w:r w:rsidR="009F47DF">
            <w:br w:type="page"/>
          </w:r>
        </w:p>
      </w:sdtContent>
    </w:sdt>
    <w:p w14:paraId="10C35917" w14:textId="29569FA1" w:rsidR="00D716E7" w:rsidRDefault="00D716E7" w:rsidP="00DC2BAA">
      <w:pPr>
        <w:pStyle w:val="Sansinterligne"/>
        <w:numPr>
          <w:ilvl w:val="0"/>
          <w:numId w:val="1"/>
        </w:numPr>
        <w:rPr>
          <w:b/>
          <w:bCs/>
          <w:color w:val="FF0000"/>
          <w:sz w:val="28"/>
          <w:szCs w:val="28"/>
        </w:rPr>
      </w:pPr>
      <w:r>
        <w:lastRenderedPageBreak/>
        <w:t xml:space="preserve">Découvrir l’épreuve </w:t>
      </w:r>
      <w:hyperlink r:id="rId8" w:history="1">
        <w:r w:rsidR="00DC2BAA" w:rsidRPr="000131EF">
          <w:rPr>
            <w:rStyle w:val="Lienhypertexte"/>
            <w:b/>
            <w:bCs/>
            <w:color w:val="FF0000"/>
            <w:sz w:val="28"/>
            <w:szCs w:val="28"/>
          </w:rPr>
          <w:t>ICI</w:t>
        </w:r>
      </w:hyperlink>
      <w:r w:rsidR="00DC2BAA">
        <w:rPr>
          <w:b/>
          <w:bCs/>
          <w:color w:val="FF0000"/>
          <w:sz w:val="28"/>
          <w:szCs w:val="28"/>
        </w:rPr>
        <w:t xml:space="preserve"> </w:t>
      </w:r>
    </w:p>
    <w:p w14:paraId="18B17F32" w14:textId="694D5EE3" w:rsidR="00DC2BAA" w:rsidRDefault="00DC2BAA" w:rsidP="00DC2BAA">
      <w:pPr>
        <w:pStyle w:val="Sansinterligne"/>
        <w:numPr>
          <w:ilvl w:val="0"/>
          <w:numId w:val="1"/>
        </w:numPr>
      </w:pPr>
      <w:r>
        <w:t xml:space="preserve">Préparer l’épreuve du grand oral : </w:t>
      </w:r>
    </w:p>
    <w:p w14:paraId="21FD2E64" w14:textId="5EE9370F" w:rsidR="00DC2BAA" w:rsidRPr="00DC2BAA" w:rsidRDefault="00DC2BAA" w:rsidP="00DC2BAA">
      <w:pPr>
        <w:pStyle w:val="Sansinterligne"/>
        <w:rPr>
          <w:b/>
          <w:bCs/>
        </w:rPr>
      </w:pPr>
      <w:r>
        <w:rPr>
          <w:b/>
          <w:bCs/>
        </w:rPr>
        <w:t>Memento</w:t>
      </w:r>
    </w:p>
    <w:tbl>
      <w:tblPr>
        <w:tblStyle w:val="Grilledutableau"/>
        <w:tblW w:w="5003" w:type="pct"/>
        <w:tblLook w:val="04A0" w:firstRow="1" w:lastRow="0" w:firstColumn="1" w:lastColumn="0" w:noHBand="0" w:noVBand="1"/>
      </w:tblPr>
      <w:tblGrid>
        <w:gridCol w:w="5561"/>
        <w:gridCol w:w="9836"/>
      </w:tblGrid>
      <w:tr w:rsidR="00DC2BAA" w:rsidRPr="006A0B8D" w14:paraId="2F918155" w14:textId="77777777" w:rsidTr="00A76BE8">
        <w:trPr>
          <w:trHeight w:val="850"/>
        </w:trPr>
        <w:tc>
          <w:tcPr>
            <w:tcW w:w="1806" w:type="pct"/>
            <w:shd w:val="clear" w:color="auto" w:fill="C6D9F1" w:themeFill="text2" w:themeFillTint="33"/>
            <w:vAlign w:val="center"/>
          </w:tcPr>
          <w:p w14:paraId="7BF1D545" w14:textId="77777777" w:rsidR="00DC2BAA" w:rsidRPr="006A0B8D" w:rsidRDefault="00DC2BAA" w:rsidP="00A76BE8">
            <w:pPr>
              <w:pStyle w:val="Sansinterligne"/>
              <w:jc w:val="center"/>
              <w:rPr>
                <w:rFonts w:ascii="Arial Unicode MS" w:eastAsia="Arial Unicode MS" w:hAnsi="Arial Unicode MS" w:cs="Arial Unicode MS"/>
                <w:b/>
                <w:bCs/>
                <w:color w:val="002060"/>
                <w:sz w:val="36"/>
                <w:szCs w:val="36"/>
              </w:rPr>
            </w:pPr>
            <w:r w:rsidRPr="006A0B8D">
              <w:rPr>
                <w:rFonts w:ascii="Arial Unicode MS" w:eastAsia="Arial Unicode MS" w:hAnsi="Arial Unicode MS" w:cs="Arial Unicode MS"/>
                <w:b/>
                <w:bCs/>
                <w:color w:val="002060"/>
                <w:sz w:val="36"/>
                <w:szCs w:val="36"/>
              </w:rPr>
              <w:t>QUE DOIS-JE FAIRE ?</w:t>
            </w:r>
          </w:p>
        </w:tc>
        <w:tc>
          <w:tcPr>
            <w:tcW w:w="3194" w:type="pct"/>
            <w:shd w:val="clear" w:color="auto" w:fill="8DB3E2" w:themeFill="text2" w:themeFillTint="66"/>
            <w:vAlign w:val="center"/>
          </w:tcPr>
          <w:p w14:paraId="078FB7F9" w14:textId="77777777" w:rsidR="00DC2BAA" w:rsidRPr="006A0B8D" w:rsidRDefault="00DC2BAA" w:rsidP="00A76BE8">
            <w:pPr>
              <w:pStyle w:val="Sansinterligne"/>
              <w:jc w:val="center"/>
              <w:rPr>
                <w:rFonts w:ascii="Arial Unicode MS" w:eastAsia="Arial Unicode MS" w:hAnsi="Arial Unicode MS" w:cs="Arial Unicode MS"/>
                <w:b/>
                <w:bCs/>
                <w:color w:val="002060"/>
                <w:sz w:val="36"/>
                <w:szCs w:val="36"/>
              </w:rPr>
            </w:pPr>
            <w:r w:rsidRPr="006A0B8D">
              <w:rPr>
                <w:rFonts w:ascii="Arial Unicode MS" w:eastAsia="Arial Unicode MS" w:hAnsi="Arial Unicode MS" w:cs="Arial Unicode MS"/>
                <w:b/>
                <w:bCs/>
                <w:color w:val="002060"/>
                <w:sz w:val="36"/>
                <w:szCs w:val="36"/>
              </w:rPr>
              <w:t>COMMENT ?</w:t>
            </w:r>
          </w:p>
        </w:tc>
      </w:tr>
      <w:tr w:rsidR="00DC2BAA" w:rsidRPr="006A0B8D" w14:paraId="30C6C32A" w14:textId="77777777" w:rsidTr="00A76BE8">
        <w:trPr>
          <w:trHeight w:val="19"/>
        </w:trPr>
        <w:tc>
          <w:tcPr>
            <w:tcW w:w="1806" w:type="pct"/>
            <w:shd w:val="clear" w:color="auto" w:fill="C6D9F1" w:themeFill="text2" w:themeFillTint="33"/>
            <w:vAlign w:val="center"/>
          </w:tcPr>
          <w:p w14:paraId="7C1B645B" w14:textId="77777777" w:rsidR="00DC2BAA" w:rsidRPr="006A0B8D" w:rsidRDefault="00DC2BAA" w:rsidP="00A76BE8">
            <w:pPr>
              <w:pStyle w:val="Sansinterligne"/>
              <w:rPr>
                <w:rFonts w:ascii="Arial Unicode MS" w:eastAsia="Arial Unicode MS" w:hAnsi="Arial Unicode MS" w:cs="Arial Unicode MS"/>
                <w:color w:val="002060"/>
                <w:sz w:val="26"/>
                <w:szCs w:val="26"/>
              </w:rPr>
            </w:pPr>
            <w:r w:rsidRPr="006A0B8D">
              <w:rPr>
                <w:rFonts w:ascii="Arial Unicode MS" w:eastAsia="Arial Unicode MS" w:hAnsi="Arial Unicode MS" w:cs="Arial Unicode MS"/>
                <w:color w:val="002060"/>
                <w:sz w:val="26"/>
                <w:szCs w:val="26"/>
              </w:rPr>
              <w:t xml:space="preserve">Je travaille mes compétences à l’oral  </w:t>
            </w:r>
          </w:p>
        </w:tc>
        <w:tc>
          <w:tcPr>
            <w:tcW w:w="3194" w:type="pct"/>
            <w:shd w:val="clear" w:color="auto" w:fill="8DB3E2" w:themeFill="text2" w:themeFillTint="66"/>
            <w:vAlign w:val="center"/>
          </w:tcPr>
          <w:p w14:paraId="41E5E607" w14:textId="77777777" w:rsidR="00DC2BAA" w:rsidRPr="006A0B8D" w:rsidRDefault="00DC2BAA" w:rsidP="00A76BE8">
            <w:pPr>
              <w:pStyle w:val="Sansinterligne"/>
              <w:rPr>
                <w:rFonts w:ascii="Arial Unicode MS" w:eastAsia="Arial Unicode MS" w:hAnsi="Arial Unicode MS" w:cs="Arial Unicode MS"/>
                <w:color w:val="002060"/>
                <w:sz w:val="26"/>
                <w:szCs w:val="26"/>
              </w:rPr>
            </w:pPr>
            <w:r w:rsidRPr="006A0B8D">
              <w:rPr>
                <w:rFonts w:ascii="Arial Unicode MS" w:eastAsia="Arial Unicode MS" w:hAnsi="Arial Unicode MS" w:cs="Arial Unicode MS"/>
                <w:color w:val="002060"/>
                <w:sz w:val="26"/>
                <w:szCs w:val="26"/>
              </w:rPr>
              <w:t xml:space="preserve">En classe </w:t>
            </w:r>
          </w:p>
          <w:p w14:paraId="2BB674D5" w14:textId="77777777" w:rsidR="00DC2BAA" w:rsidRPr="006A0B8D" w:rsidRDefault="00DC2BAA" w:rsidP="00A76BE8">
            <w:pPr>
              <w:pStyle w:val="Sansinterligne"/>
              <w:rPr>
                <w:rFonts w:ascii="Arial Unicode MS" w:eastAsia="Arial Unicode MS" w:hAnsi="Arial Unicode MS" w:cs="Arial Unicode MS"/>
                <w:color w:val="002060"/>
                <w:sz w:val="26"/>
                <w:szCs w:val="26"/>
              </w:rPr>
            </w:pPr>
            <w:r w:rsidRPr="006A0B8D">
              <w:rPr>
                <w:rFonts w:ascii="Arial Unicode MS" w:eastAsia="Arial Unicode MS" w:hAnsi="Arial Unicode MS" w:cs="Arial Unicode MS"/>
                <w:color w:val="002060"/>
                <w:sz w:val="26"/>
                <w:szCs w:val="26"/>
              </w:rPr>
              <w:t xml:space="preserve">Au quotidien </w:t>
            </w:r>
          </w:p>
          <w:p w14:paraId="11ACE480" w14:textId="77777777" w:rsidR="00DC2BAA" w:rsidRPr="006A0B8D" w:rsidRDefault="00DC2BAA" w:rsidP="00A76BE8">
            <w:pPr>
              <w:pStyle w:val="Sansinterligne"/>
              <w:rPr>
                <w:rFonts w:ascii="Arial Unicode MS" w:eastAsia="Arial Unicode MS" w:hAnsi="Arial Unicode MS" w:cs="Arial Unicode MS"/>
                <w:color w:val="002060"/>
                <w:sz w:val="26"/>
                <w:szCs w:val="26"/>
              </w:rPr>
            </w:pPr>
            <w:r w:rsidRPr="006A0B8D">
              <w:rPr>
                <w:rFonts w:ascii="Arial Unicode MS" w:eastAsia="Arial Unicode MS" w:hAnsi="Arial Unicode MS" w:cs="Arial Unicode MS"/>
                <w:color w:val="002060"/>
                <w:sz w:val="26"/>
                <w:szCs w:val="26"/>
              </w:rPr>
              <w:t>Dans toutes les disciplines</w:t>
            </w:r>
          </w:p>
        </w:tc>
      </w:tr>
      <w:tr w:rsidR="00DC2BAA" w:rsidRPr="006A0B8D" w14:paraId="443C1FD9" w14:textId="77777777" w:rsidTr="00A76BE8">
        <w:trPr>
          <w:trHeight w:val="19"/>
        </w:trPr>
        <w:tc>
          <w:tcPr>
            <w:tcW w:w="1806" w:type="pct"/>
            <w:shd w:val="clear" w:color="auto" w:fill="C6D9F1" w:themeFill="text2" w:themeFillTint="33"/>
            <w:vAlign w:val="center"/>
          </w:tcPr>
          <w:p w14:paraId="5439F2BB" w14:textId="77777777" w:rsidR="00DC2BAA" w:rsidRPr="006A0B8D" w:rsidRDefault="00DC2BAA" w:rsidP="00A76BE8">
            <w:pPr>
              <w:pStyle w:val="Sansinterligne"/>
              <w:rPr>
                <w:rFonts w:ascii="Arial Unicode MS" w:eastAsia="Arial Unicode MS" w:hAnsi="Arial Unicode MS" w:cs="Arial Unicode MS"/>
                <w:color w:val="002060"/>
                <w:sz w:val="26"/>
                <w:szCs w:val="26"/>
              </w:rPr>
            </w:pPr>
            <w:r w:rsidRPr="006A0B8D">
              <w:rPr>
                <w:rFonts w:ascii="Arial Unicode MS" w:eastAsia="Arial Unicode MS" w:hAnsi="Arial Unicode MS" w:cs="Arial Unicode MS"/>
                <w:color w:val="002060"/>
                <w:sz w:val="26"/>
                <w:szCs w:val="26"/>
              </w:rPr>
              <w:t xml:space="preserve">Je prépare deux questions </w:t>
            </w:r>
          </w:p>
        </w:tc>
        <w:tc>
          <w:tcPr>
            <w:tcW w:w="3194" w:type="pct"/>
            <w:shd w:val="clear" w:color="auto" w:fill="8DB3E2" w:themeFill="text2" w:themeFillTint="66"/>
            <w:vAlign w:val="center"/>
          </w:tcPr>
          <w:p w14:paraId="4E21CCEB" w14:textId="77777777" w:rsidR="00DC2BAA" w:rsidRPr="006A0B8D" w:rsidRDefault="00DC2BAA" w:rsidP="00A76BE8">
            <w:pPr>
              <w:pStyle w:val="Sansinterligne"/>
              <w:rPr>
                <w:rFonts w:ascii="Arial Unicode MS" w:eastAsia="Arial Unicode MS" w:hAnsi="Arial Unicode MS" w:cs="Arial Unicode MS"/>
                <w:color w:val="002060"/>
                <w:sz w:val="26"/>
                <w:szCs w:val="26"/>
              </w:rPr>
            </w:pPr>
            <w:r w:rsidRPr="006A0B8D">
              <w:rPr>
                <w:rFonts w:ascii="Arial Unicode MS" w:eastAsia="Arial Unicode MS" w:hAnsi="Arial Unicode MS" w:cs="Arial Unicode MS"/>
                <w:color w:val="002060"/>
                <w:sz w:val="26"/>
                <w:szCs w:val="26"/>
              </w:rPr>
              <w:t xml:space="preserve">En lien avec : </w:t>
            </w:r>
          </w:p>
          <w:p w14:paraId="01BF3D2D" w14:textId="77777777" w:rsidR="00DC2BAA" w:rsidRPr="006A0B8D" w:rsidRDefault="00DC2BAA" w:rsidP="00DC2BAA">
            <w:pPr>
              <w:pStyle w:val="Sansinterligne"/>
              <w:numPr>
                <w:ilvl w:val="0"/>
                <w:numId w:val="2"/>
              </w:numPr>
              <w:rPr>
                <w:rFonts w:ascii="Arial Unicode MS" w:eastAsia="Arial Unicode MS" w:hAnsi="Arial Unicode MS" w:cs="Arial Unicode MS"/>
                <w:color w:val="002060"/>
                <w:sz w:val="26"/>
                <w:szCs w:val="26"/>
              </w:rPr>
            </w:pPr>
            <w:r w:rsidRPr="006A0B8D">
              <w:rPr>
                <w:rFonts w:ascii="Arial Unicode MS" w:eastAsia="Arial Unicode MS" w:hAnsi="Arial Unicode MS" w:cs="Arial Unicode MS"/>
                <w:color w:val="002060"/>
                <w:sz w:val="26"/>
                <w:szCs w:val="26"/>
              </w:rPr>
              <w:t xml:space="preserve">Un enseignement de spécialité </w:t>
            </w:r>
          </w:p>
          <w:p w14:paraId="209A86BF" w14:textId="77777777" w:rsidR="00DC2BAA" w:rsidRPr="006A0B8D" w:rsidRDefault="00DC2BAA" w:rsidP="00DC2BAA">
            <w:pPr>
              <w:pStyle w:val="Sansinterligne"/>
              <w:numPr>
                <w:ilvl w:val="0"/>
                <w:numId w:val="2"/>
              </w:numPr>
              <w:rPr>
                <w:rFonts w:ascii="Arial Unicode MS" w:eastAsia="Arial Unicode MS" w:hAnsi="Arial Unicode MS" w:cs="Arial Unicode MS"/>
                <w:color w:val="002060"/>
                <w:sz w:val="26"/>
                <w:szCs w:val="26"/>
              </w:rPr>
            </w:pPr>
            <w:r w:rsidRPr="006A0B8D">
              <w:rPr>
                <w:rFonts w:ascii="Arial Unicode MS" w:eastAsia="Arial Unicode MS" w:hAnsi="Arial Unicode MS" w:cs="Arial Unicode MS"/>
                <w:color w:val="002060"/>
                <w:sz w:val="26"/>
                <w:szCs w:val="26"/>
              </w:rPr>
              <w:t xml:space="preserve">Deux enseignements de spécialité </w:t>
            </w:r>
          </w:p>
          <w:p w14:paraId="633004FC" w14:textId="77777777" w:rsidR="00DC2BAA" w:rsidRPr="006A0B8D" w:rsidRDefault="00DC2BAA" w:rsidP="00DC2BAA">
            <w:pPr>
              <w:pStyle w:val="Sansinterligne"/>
              <w:numPr>
                <w:ilvl w:val="0"/>
                <w:numId w:val="2"/>
              </w:numPr>
              <w:rPr>
                <w:rFonts w:ascii="Arial Unicode MS" w:eastAsia="Arial Unicode MS" w:hAnsi="Arial Unicode MS" w:cs="Arial Unicode MS"/>
                <w:color w:val="002060"/>
                <w:sz w:val="26"/>
                <w:szCs w:val="26"/>
              </w:rPr>
            </w:pPr>
            <w:r w:rsidRPr="006A0B8D">
              <w:rPr>
                <w:rFonts w:ascii="Arial Unicode MS" w:eastAsia="Arial Unicode MS" w:hAnsi="Arial Unicode MS" w:cs="Arial Unicode MS"/>
                <w:color w:val="002060"/>
                <w:sz w:val="26"/>
                <w:szCs w:val="26"/>
              </w:rPr>
              <w:t>Mon projet personnel d’orientation</w:t>
            </w:r>
          </w:p>
        </w:tc>
      </w:tr>
      <w:tr w:rsidR="00DC2BAA" w:rsidRPr="006A0B8D" w14:paraId="257FB3BD" w14:textId="77777777" w:rsidTr="00A76BE8">
        <w:trPr>
          <w:trHeight w:val="19"/>
        </w:trPr>
        <w:tc>
          <w:tcPr>
            <w:tcW w:w="1806" w:type="pct"/>
            <w:shd w:val="clear" w:color="auto" w:fill="C6D9F1" w:themeFill="text2" w:themeFillTint="33"/>
            <w:vAlign w:val="center"/>
          </w:tcPr>
          <w:p w14:paraId="519E9BAD" w14:textId="77777777" w:rsidR="00DC2BAA" w:rsidRPr="006A0B8D" w:rsidRDefault="00DC2BAA" w:rsidP="00A76BE8">
            <w:pPr>
              <w:pStyle w:val="Sansinterligne"/>
              <w:rPr>
                <w:rFonts w:ascii="Arial Unicode MS" w:eastAsia="Arial Unicode MS" w:hAnsi="Arial Unicode MS" w:cs="Arial Unicode MS"/>
                <w:color w:val="002060"/>
                <w:sz w:val="26"/>
                <w:szCs w:val="26"/>
              </w:rPr>
            </w:pPr>
            <w:r w:rsidRPr="006A0B8D">
              <w:rPr>
                <w:rFonts w:ascii="Arial Unicode MS" w:eastAsia="Arial Unicode MS" w:hAnsi="Arial Unicode MS" w:cs="Arial Unicode MS"/>
                <w:color w:val="002060"/>
                <w:sz w:val="26"/>
                <w:szCs w:val="26"/>
              </w:rPr>
              <w:t xml:space="preserve">Je prépare la réponse aux questions </w:t>
            </w:r>
          </w:p>
        </w:tc>
        <w:tc>
          <w:tcPr>
            <w:tcW w:w="3194" w:type="pct"/>
            <w:shd w:val="clear" w:color="auto" w:fill="8DB3E2" w:themeFill="text2" w:themeFillTint="66"/>
            <w:vAlign w:val="center"/>
          </w:tcPr>
          <w:p w14:paraId="4CC71F80" w14:textId="77777777" w:rsidR="00DC2BAA" w:rsidRPr="006A0B8D" w:rsidRDefault="00DC2BAA" w:rsidP="00A76BE8">
            <w:pPr>
              <w:pStyle w:val="Sansinterligne"/>
              <w:rPr>
                <w:rFonts w:ascii="Arial Unicode MS" w:eastAsia="Arial Unicode MS" w:hAnsi="Arial Unicode MS" w:cs="Arial Unicode MS"/>
                <w:color w:val="002060"/>
                <w:sz w:val="26"/>
                <w:szCs w:val="26"/>
              </w:rPr>
            </w:pPr>
            <w:r w:rsidRPr="006A0B8D">
              <w:rPr>
                <w:rFonts w:ascii="Arial Unicode MS" w:eastAsia="Arial Unicode MS" w:hAnsi="Arial Unicode MS" w:cs="Arial Unicode MS"/>
                <w:color w:val="002060"/>
                <w:sz w:val="26"/>
                <w:szCs w:val="26"/>
              </w:rPr>
              <w:t xml:space="preserve">Avec mon/mes professeurs </w:t>
            </w:r>
          </w:p>
          <w:p w14:paraId="0E1061AC" w14:textId="63903872" w:rsidR="00DC2BAA" w:rsidRPr="006A0B8D" w:rsidRDefault="004706C0" w:rsidP="00A76BE8">
            <w:pPr>
              <w:pStyle w:val="Sansinterligne"/>
              <w:rPr>
                <w:rFonts w:ascii="Arial Unicode MS" w:eastAsia="Arial Unicode MS" w:hAnsi="Arial Unicode MS" w:cs="Arial Unicode MS"/>
                <w:color w:val="002060"/>
                <w:sz w:val="26"/>
                <w:szCs w:val="26"/>
              </w:rPr>
            </w:pPr>
            <w:r w:rsidRPr="006A0B8D">
              <w:rPr>
                <w:rFonts w:ascii="Arial Unicode MS" w:eastAsia="Arial Unicode MS" w:hAnsi="Arial Unicode MS" w:cs="Arial Unicode MS"/>
                <w:color w:val="002060"/>
                <w:sz w:val="26"/>
                <w:szCs w:val="26"/>
              </w:rPr>
              <w:t>À</w:t>
            </w:r>
            <w:r w:rsidR="00DC2BAA" w:rsidRPr="006A0B8D">
              <w:rPr>
                <w:rFonts w:ascii="Arial Unicode MS" w:eastAsia="Arial Unicode MS" w:hAnsi="Arial Unicode MS" w:cs="Arial Unicode MS"/>
                <w:color w:val="002060"/>
                <w:sz w:val="26"/>
                <w:szCs w:val="26"/>
              </w:rPr>
              <w:t xml:space="preserve"> l’aide de recherches personnelles</w:t>
            </w:r>
          </w:p>
        </w:tc>
      </w:tr>
      <w:tr w:rsidR="00DC2BAA" w:rsidRPr="006A0B8D" w14:paraId="06FBC1C6" w14:textId="77777777" w:rsidTr="00A76BE8">
        <w:trPr>
          <w:trHeight w:val="19"/>
        </w:trPr>
        <w:tc>
          <w:tcPr>
            <w:tcW w:w="1806" w:type="pct"/>
            <w:shd w:val="clear" w:color="auto" w:fill="C6D9F1" w:themeFill="text2" w:themeFillTint="33"/>
            <w:vAlign w:val="center"/>
          </w:tcPr>
          <w:p w14:paraId="2F1F329A" w14:textId="77777777" w:rsidR="00DC2BAA" w:rsidRPr="006A0B8D" w:rsidRDefault="00DC2BAA" w:rsidP="00A76BE8">
            <w:pPr>
              <w:pStyle w:val="Sansinterligne"/>
              <w:rPr>
                <w:rFonts w:ascii="Arial Unicode MS" w:eastAsia="Arial Unicode MS" w:hAnsi="Arial Unicode MS" w:cs="Arial Unicode MS"/>
                <w:color w:val="002060"/>
                <w:sz w:val="26"/>
                <w:szCs w:val="26"/>
              </w:rPr>
            </w:pPr>
            <w:r w:rsidRPr="006A0B8D">
              <w:rPr>
                <w:rFonts w:ascii="Arial Unicode MS" w:eastAsia="Arial Unicode MS" w:hAnsi="Arial Unicode MS" w:cs="Arial Unicode MS"/>
                <w:color w:val="002060"/>
                <w:sz w:val="26"/>
                <w:szCs w:val="26"/>
              </w:rPr>
              <w:t xml:space="preserve">Je prépare une réponse argumentée </w:t>
            </w:r>
          </w:p>
        </w:tc>
        <w:tc>
          <w:tcPr>
            <w:tcW w:w="3194" w:type="pct"/>
            <w:shd w:val="clear" w:color="auto" w:fill="8DB3E2" w:themeFill="text2" w:themeFillTint="66"/>
            <w:vAlign w:val="center"/>
          </w:tcPr>
          <w:p w14:paraId="5AE508B9" w14:textId="58EF61A4" w:rsidR="00DC2BAA" w:rsidRPr="006A0B8D" w:rsidRDefault="004706C0" w:rsidP="00A76BE8">
            <w:pPr>
              <w:pStyle w:val="Sansinterligne"/>
              <w:rPr>
                <w:rFonts w:ascii="Arial Unicode MS" w:eastAsia="Arial Unicode MS" w:hAnsi="Arial Unicode MS" w:cs="Arial Unicode MS"/>
                <w:color w:val="002060"/>
                <w:sz w:val="26"/>
                <w:szCs w:val="26"/>
              </w:rPr>
            </w:pPr>
            <w:r w:rsidRPr="006A0B8D">
              <w:rPr>
                <w:rFonts w:ascii="Arial Unicode MS" w:eastAsia="Arial Unicode MS" w:hAnsi="Arial Unicode MS" w:cs="Arial Unicode MS"/>
                <w:color w:val="002060"/>
                <w:sz w:val="26"/>
                <w:szCs w:val="26"/>
              </w:rPr>
              <w:t>À</w:t>
            </w:r>
            <w:r w:rsidR="00DC2BAA" w:rsidRPr="006A0B8D">
              <w:rPr>
                <w:rFonts w:ascii="Arial Unicode MS" w:eastAsia="Arial Unicode MS" w:hAnsi="Arial Unicode MS" w:cs="Arial Unicode MS"/>
                <w:color w:val="002060"/>
                <w:sz w:val="26"/>
                <w:szCs w:val="26"/>
              </w:rPr>
              <w:t xml:space="preserve"> l’aide des savoirs disciplinaires : notions, mécanismes…</w:t>
            </w:r>
          </w:p>
          <w:p w14:paraId="1F8C85B0" w14:textId="7317A0AE" w:rsidR="00DC2BAA" w:rsidRPr="006A0B8D" w:rsidRDefault="004706C0" w:rsidP="00A76BE8">
            <w:pPr>
              <w:pStyle w:val="Sansinterligne"/>
              <w:ind w:right="1748"/>
              <w:rPr>
                <w:rFonts w:ascii="Arial Unicode MS" w:eastAsia="Arial Unicode MS" w:hAnsi="Arial Unicode MS" w:cs="Arial Unicode MS"/>
                <w:color w:val="002060"/>
                <w:sz w:val="26"/>
                <w:szCs w:val="26"/>
              </w:rPr>
            </w:pPr>
            <w:r w:rsidRPr="006A0B8D">
              <w:rPr>
                <w:rFonts w:ascii="Arial Unicode MS" w:eastAsia="Arial Unicode MS" w:hAnsi="Arial Unicode MS" w:cs="Arial Unicode MS"/>
                <w:color w:val="002060"/>
                <w:sz w:val="26"/>
                <w:szCs w:val="26"/>
              </w:rPr>
              <w:t>À</w:t>
            </w:r>
            <w:r w:rsidR="00DC2BAA" w:rsidRPr="006A0B8D">
              <w:rPr>
                <w:rFonts w:ascii="Arial Unicode MS" w:eastAsia="Arial Unicode MS" w:hAnsi="Arial Unicode MS" w:cs="Arial Unicode MS"/>
                <w:color w:val="002060"/>
                <w:sz w:val="26"/>
                <w:szCs w:val="26"/>
              </w:rPr>
              <w:t xml:space="preserve"> l’aide de savoir</w:t>
            </w:r>
            <w:r w:rsidR="00DC2BAA">
              <w:rPr>
                <w:rFonts w:ascii="Arial Unicode MS" w:eastAsia="Arial Unicode MS" w:hAnsi="Arial Unicode MS" w:cs="Arial Unicode MS"/>
                <w:color w:val="002060"/>
                <w:sz w:val="26"/>
                <w:szCs w:val="26"/>
              </w:rPr>
              <w:t>-</w:t>
            </w:r>
            <w:r w:rsidR="00DC2BAA" w:rsidRPr="006A0B8D">
              <w:rPr>
                <w:rFonts w:ascii="Arial Unicode MS" w:eastAsia="Arial Unicode MS" w:hAnsi="Arial Unicode MS" w:cs="Arial Unicode MS"/>
                <w:color w:val="002060"/>
                <w:sz w:val="26"/>
                <w:szCs w:val="26"/>
              </w:rPr>
              <w:t xml:space="preserve">faire : mobilisation et exploitation de ressources (recherches documentaires) </w:t>
            </w:r>
          </w:p>
          <w:p w14:paraId="6CF17AAA" w14:textId="77777777" w:rsidR="00DC2BAA" w:rsidRPr="006A0B8D" w:rsidRDefault="00DC2BAA" w:rsidP="00A76BE8">
            <w:pPr>
              <w:pStyle w:val="Sansinterligne"/>
              <w:rPr>
                <w:rFonts w:ascii="Arial Unicode MS" w:eastAsia="Arial Unicode MS" w:hAnsi="Arial Unicode MS" w:cs="Arial Unicode MS"/>
                <w:color w:val="002060"/>
                <w:sz w:val="26"/>
                <w:szCs w:val="26"/>
              </w:rPr>
            </w:pPr>
            <w:r w:rsidRPr="006A0B8D">
              <w:rPr>
                <w:rFonts w:ascii="Arial Unicode MS" w:eastAsia="Arial Unicode MS" w:hAnsi="Arial Unicode MS" w:cs="Arial Unicode MS"/>
                <w:color w:val="002060"/>
                <w:sz w:val="26"/>
                <w:szCs w:val="26"/>
              </w:rPr>
              <w:t>Avec méthode (argumentation)</w:t>
            </w:r>
          </w:p>
        </w:tc>
      </w:tr>
      <w:tr w:rsidR="00DC2BAA" w:rsidRPr="006A0B8D" w14:paraId="040C7546" w14:textId="77777777" w:rsidTr="00A76BE8">
        <w:trPr>
          <w:trHeight w:val="19"/>
        </w:trPr>
        <w:tc>
          <w:tcPr>
            <w:tcW w:w="1806" w:type="pct"/>
            <w:shd w:val="clear" w:color="auto" w:fill="C6D9F1" w:themeFill="text2" w:themeFillTint="33"/>
            <w:vAlign w:val="center"/>
          </w:tcPr>
          <w:p w14:paraId="03457FB5" w14:textId="77777777" w:rsidR="00DC2BAA" w:rsidRPr="006A0B8D" w:rsidRDefault="00DC2BAA" w:rsidP="00A76BE8">
            <w:pPr>
              <w:pStyle w:val="Sansinterligne"/>
              <w:rPr>
                <w:rFonts w:ascii="Arial Unicode MS" w:eastAsia="Arial Unicode MS" w:hAnsi="Arial Unicode MS" w:cs="Arial Unicode MS"/>
                <w:color w:val="002060"/>
                <w:sz w:val="26"/>
                <w:szCs w:val="26"/>
              </w:rPr>
            </w:pPr>
            <w:r w:rsidRPr="006A0B8D">
              <w:rPr>
                <w:rFonts w:ascii="Arial Unicode MS" w:eastAsia="Arial Unicode MS" w:hAnsi="Arial Unicode MS" w:cs="Arial Unicode MS"/>
                <w:color w:val="002060"/>
                <w:sz w:val="26"/>
                <w:szCs w:val="26"/>
              </w:rPr>
              <w:t xml:space="preserve">Je prépare l’examen oral </w:t>
            </w:r>
          </w:p>
        </w:tc>
        <w:tc>
          <w:tcPr>
            <w:tcW w:w="3194" w:type="pct"/>
            <w:shd w:val="clear" w:color="auto" w:fill="8DB3E2" w:themeFill="text2" w:themeFillTint="66"/>
            <w:vAlign w:val="center"/>
          </w:tcPr>
          <w:p w14:paraId="1C40EDC4" w14:textId="77777777" w:rsidR="00DC2BAA" w:rsidRPr="006A0B8D" w:rsidRDefault="00DC2BAA" w:rsidP="00A76BE8">
            <w:pPr>
              <w:pStyle w:val="Sansinterligne"/>
              <w:rPr>
                <w:rFonts w:ascii="Arial Unicode MS" w:eastAsia="Arial Unicode MS" w:hAnsi="Arial Unicode MS" w:cs="Arial Unicode MS"/>
                <w:color w:val="002060"/>
                <w:sz w:val="26"/>
                <w:szCs w:val="26"/>
              </w:rPr>
            </w:pPr>
            <w:r w:rsidRPr="006A0B8D">
              <w:rPr>
                <w:rFonts w:ascii="Arial Unicode MS" w:eastAsia="Arial Unicode MS" w:hAnsi="Arial Unicode MS" w:cs="Arial Unicode MS"/>
                <w:color w:val="002060"/>
                <w:sz w:val="26"/>
                <w:szCs w:val="26"/>
              </w:rPr>
              <w:t xml:space="preserve">Je connais le contenu de l’épreuve orale </w:t>
            </w:r>
          </w:p>
          <w:p w14:paraId="01EE35BA" w14:textId="77777777" w:rsidR="00DC2BAA" w:rsidRPr="006A0B8D" w:rsidRDefault="00DC2BAA" w:rsidP="00A76BE8">
            <w:pPr>
              <w:pStyle w:val="Sansinterligne"/>
              <w:rPr>
                <w:rFonts w:ascii="Arial Unicode MS" w:eastAsia="Arial Unicode MS" w:hAnsi="Arial Unicode MS" w:cs="Arial Unicode MS"/>
                <w:color w:val="002060"/>
                <w:sz w:val="26"/>
                <w:szCs w:val="26"/>
              </w:rPr>
            </w:pPr>
            <w:r w:rsidRPr="006A0B8D">
              <w:rPr>
                <w:rFonts w:ascii="Arial Unicode MS" w:eastAsia="Arial Unicode MS" w:hAnsi="Arial Unicode MS" w:cs="Arial Unicode MS"/>
                <w:color w:val="002060"/>
                <w:sz w:val="26"/>
                <w:szCs w:val="26"/>
              </w:rPr>
              <w:t>Je suis capable d’argumenter à l’oral</w:t>
            </w:r>
          </w:p>
          <w:p w14:paraId="2A8FC98F" w14:textId="77777777" w:rsidR="00DC2BAA" w:rsidRPr="006A0B8D" w:rsidRDefault="00DC2BAA" w:rsidP="00A76BE8">
            <w:pPr>
              <w:pStyle w:val="Sansinterligne"/>
              <w:rPr>
                <w:rFonts w:ascii="Arial Unicode MS" w:eastAsia="Arial Unicode MS" w:hAnsi="Arial Unicode MS" w:cs="Arial Unicode MS"/>
                <w:color w:val="002060"/>
                <w:sz w:val="26"/>
                <w:szCs w:val="26"/>
              </w:rPr>
            </w:pPr>
            <w:r w:rsidRPr="006A0B8D">
              <w:rPr>
                <w:rFonts w:ascii="Arial Unicode MS" w:eastAsia="Arial Unicode MS" w:hAnsi="Arial Unicode MS" w:cs="Arial Unicode MS"/>
                <w:color w:val="002060"/>
                <w:sz w:val="26"/>
                <w:szCs w:val="26"/>
              </w:rPr>
              <w:t xml:space="preserve">Je suis capable de m’exprimer en continu et sans note  </w:t>
            </w:r>
          </w:p>
          <w:p w14:paraId="69343423" w14:textId="77777777" w:rsidR="00DC2BAA" w:rsidRPr="006A0B8D" w:rsidRDefault="00DC2BAA" w:rsidP="00A76BE8">
            <w:pPr>
              <w:pStyle w:val="Sansinterligne"/>
              <w:rPr>
                <w:rFonts w:ascii="Arial Unicode MS" w:eastAsia="Arial Unicode MS" w:hAnsi="Arial Unicode MS" w:cs="Arial Unicode MS"/>
                <w:color w:val="002060"/>
                <w:sz w:val="26"/>
                <w:szCs w:val="26"/>
              </w:rPr>
            </w:pPr>
            <w:r w:rsidRPr="006A0B8D">
              <w:rPr>
                <w:rFonts w:ascii="Arial Unicode MS" w:eastAsia="Arial Unicode MS" w:hAnsi="Arial Unicode MS" w:cs="Arial Unicode MS"/>
                <w:color w:val="002060"/>
                <w:sz w:val="26"/>
                <w:szCs w:val="26"/>
              </w:rPr>
              <w:t>Je suis capable de répondre aux questions du jury</w:t>
            </w:r>
            <w:r>
              <w:rPr>
                <w:rFonts w:ascii="Arial Unicode MS" w:eastAsia="Arial Unicode MS" w:hAnsi="Arial Unicode MS" w:cs="Arial Unicode MS"/>
                <w:color w:val="002060"/>
                <w:sz w:val="26"/>
                <w:szCs w:val="26"/>
              </w:rPr>
              <w:t> portant sur :</w:t>
            </w:r>
          </w:p>
          <w:p w14:paraId="12C1149C" w14:textId="77777777" w:rsidR="00DC2BAA" w:rsidRPr="006A0B8D" w:rsidRDefault="00DC2BAA" w:rsidP="00DC2BAA">
            <w:pPr>
              <w:pStyle w:val="Sansinterligne"/>
              <w:numPr>
                <w:ilvl w:val="0"/>
                <w:numId w:val="2"/>
              </w:numPr>
              <w:rPr>
                <w:rFonts w:ascii="Arial Unicode MS" w:eastAsia="Arial Unicode MS" w:hAnsi="Arial Unicode MS" w:cs="Arial Unicode MS"/>
                <w:color w:val="002060"/>
                <w:sz w:val="26"/>
                <w:szCs w:val="26"/>
              </w:rPr>
            </w:pPr>
            <w:r>
              <w:rPr>
                <w:rFonts w:ascii="Arial Unicode MS" w:eastAsia="Arial Unicode MS" w:hAnsi="Arial Unicode MS" w:cs="Arial Unicode MS"/>
                <w:color w:val="002060"/>
                <w:sz w:val="26"/>
                <w:szCs w:val="26"/>
              </w:rPr>
              <w:t>L</w:t>
            </w:r>
            <w:r w:rsidRPr="006A0B8D">
              <w:rPr>
                <w:rFonts w:ascii="Arial Unicode MS" w:eastAsia="Arial Unicode MS" w:hAnsi="Arial Unicode MS" w:cs="Arial Unicode MS"/>
                <w:color w:val="002060"/>
                <w:sz w:val="26"/>
                <w:szCs w:val="26"/>
              </w:rPr>
              <w:t>e contenu de ma/mes réponses</w:t>
            </w:r>
          </w:p>
          <w:p w14:paraId="14405BBF" w14:textId="77777777" w:rsidR="00DC2BAA" w:rsidRPr="006A0B8D" w:rsidRDefault="00DC2BAA" w:rsidP="00DC2BAA">
            <w:pPr>
              <w:pStyle w:val="Sansinterligne"/>
              <w:numPr>
                <w:ilvl w:val="0"/>
                <w:numId w:val="2"/>
              </w:numPr>
              <w:rPr>
                <w:rFonts w:ascii="Arial Unicode MS" w:eastAsia="Arial Unicode MS" w:hAnsi="Arial Unicode MS" w:cs="Arial Unicode MS"/>
                <w:color w:val="002060"/>
                <w:sz w:val="26"/>
                <w:szCs w:val="26"/>
              </w:rPr>
            </w:pPr>
            <w:r>
              <w:rPr>
                <w:rFonts w:ascii="Arial Unicode MS" w:eastAsia="Arial Unicode MS" w:hAnsi="Arial Unicode MS" w:cs="Arial Unicode MS"/>
                <w:color w:val="002060"/>
                <w:sz w:val="26"/>
                <w:szCs w:val="26"/>
              </w:rPr>
              <w:t>Le P</w:t>
            </w:r>
            <w:r w:rsidRPr="006A0B8D">
              <w:rPr>
                <w:rFonts w:ascii="Arial Unicode MS" w:eastAsia="Arial Unicode MS" w:hAnsi="Arial Unicode MS" w:cs="Arial Unicode MS"/>
                <w:color w:val="002060"/>
                <w:sz w:val="26"/>
                <w:szCs w:val="26"/>
              </w:rPr>
              <w:t xml:space="preserve">rojet </w:t>
            </w:r>
            <w:r>
              <w:rPr>
                <w:rFonts w:ascii="Arial Unicode MS" w:eastAsia="Arial Unicode MS" w:hAnsi="Arial Unicode MS" w:cs="Arial Unicode MS"/>
                <w:color w:val="002060"/>
                <w:sz w:val="26"/>
                <w:szCs w:val="26"/>
              </w:rPr>
              <w:t>P</w:t>
            </w:r>
            <w:r w:rsidRPr="006A0B8D">
              <w:rPr>
                <w:rFonts w:ascii="Arial Unicode MS" w:eastAsia="Arial Unicode MS" w:hAnsi="Arial Unicode MS" w:cs="Arial Unicode MS"/>
                <w:color w:val="002060"/>
                <w:sz w:val="26"/>
                <w:szCs w:val="26"/>
              </w:rPr>
              <w:t>ersonnel d’</w:t>
            </w:r>
            <w:r>
              <w:rPr>
                <w:rFonts w:ascii="Arial Unicode MS" w:eastAsia="Arial Unicode MS" w:hAnsi="Arial Unicode MS" w:cs="Arial Unicode MS"/>
                <w:color w:val="002060"/>
                <w:sz w:val="26"/>
                <w:szCs w:val="26"/>
              </w:rPr>
              <w:t>O</w:t>
            </w:r>
            <w:r w:rsidRPr="006A0B8D">
              <w:rPr>
                <w:rFonts w:ascii="Arial Unicode MS" w:eastAsia="Arial Unicode MS" w:hAnsi="Arial Unicode MS" w:cs="Arial Unicode MS"/>
                <w:color w:val="002060"/>
                <w:sz w:val="26"/>
                <w:szCs w:val="26"/>
              </w:rPr>
              <w:t xml:space="preserve">rientation </w:t>
            </w:r>
          </w:p>
        </w:tc>
      </w:tr>
    </w:tbl>
    <w:p w14:paraId="3D778C27" w14:textId="5313673F" w:rsidR="00DC2BAA" w:rsidRDefault="009F2493" w:rsidP="00CD0FC9">
      <w:pPr>
        <w:pStyle w:val="Sansinterligne"/>
        <w:rPr>
          <w:b/>
          <w:bCs/>
          <w:color w:val="FF0000"/>
        </w:rPr>
      </w:pPr>
      <w:r>
        <w:rPr>
          <w:b/>
          <w:bCs/>
          <w:color w:val="FF0000"/>
        </w:rPr>
        <w:lastRenderedPageBreak/>
        <w:t xml:space="preserve">CHOISIR ET PRÉPARER LES DEUX QUESTIONS </w:t>
      </w:r>
    </w:p>
    <w:p w14:paraId="0EAB99D1" w14:textId="5E2765D1" w:rsidR="00B44A73" w:rsidRPr="00B44A73" w:rsidRDefault="00B44A73" w:rsidP="00CD0FC9">
      <w:pPr>
        <w:pStyle w:val="Sansinterligne"/>
        <w:rPr>
          <w:b/>
          <w:bCs/>
        </w:rPr>
      </w:pPr>
      <w:r w:rsidRPr="00B44A73">
        <w:rPr>
          <w:b/>
          <w:bCs/>
        </w:rPr>
        <w:t xml:space="preserve">Étape 1 je me réfère au(x) programme(s) d’une ou des deux spécialités </w:t>
      </w:r>
      <w:r w:rsidR="002D5BFD">
        <w:rPr>
          <w:b/>
          <w:bCs/>
        </w:rPr>
        <w:t>(</w:t>
      </w:r>
      <w:r w:rsidR="009F2493" w:rsidRPr="002D5BFD">
        <w:rPr>
          <w:b/>
          <w:bCs/>
          <w:i/>
          <w:iCs/>
        </w:rPr>
        <w:t>selon que</w:t>
      </w:r>
      <w:r w:rsidRPr="002D5BFD">
        <w:rPr>
          <w:b/>
          <w:bCs/>
          <w:i/>
          <w:iCs/>
        </w:rPr>
        <w:t xml:space="preserve"> je choisis une question qui croise </w:t>
      </w:r>
      <w:r w:rsidR="002D5BFD" w:rsidRPr="002D5BFD">
        <w:rPr>
          <w:b/>
          <w:bCs/>
          <w:i/>
          <w:iCs/>
        </w:rPr>
        <w:t xml:space="preserve">ou non </w:t>
      </w:r>
      <w:r w:rsidRPr="002D5BFD">
        <w:rPr>
          <w:b/>
          <w:bCs/>
          <w:i/>
          <w:iCs/>
        </w:rPr>
        <w:t>les deux enseignements</w:t>
      </w:r>
      <w:r w:rsidR="002D5BFD">
        <w:rPr>
          <w:b/>
          <w:bCs/>
        </w:rPr>
        <w:t>)</w:t>
      </w:r>
      <w:r w:rsidR="006A6DA0">
        <w:rPr>
          <w:b/>
          <w:bCs/>
        </w:rPr>
        <w:t xml:space="preserve"> pour déterminer ma/mes questions.</w:t>
      </w:r>
    </w:p>
    <w:p w14:paraId="0BBDC546" w14:textId="77777777" w:rsidR="006A6DA0" w:rsidRDefault="002D5BFD" w:rsidP="00CD0FC9">
      <w:pPr>
        <w:pStyle w:val="Sansinterligne"/>
        <w:rPr>
          <w:b/>
          <w:bCs/>
          <w:color w:val="0070C0"/>
        </w:rPr>
      </w:pPr>
      <w:r>
        <w:rPr>
          <w:b/>
          <w:bCs/>
          <w:color w:val="0070C0"/>
        </w:rPr>
        <w:t>Ce</w:t>
      </w:r>
      <w:r w:rsidR="00B44A73" w:rsidRPr="002D5BFD">
        <w:rPr>
          <w:b/>
          <w:bCs/>
          <w:color w:val="0070C0"/>
        </w:rPr>
        <w:t xml:space="preserve"> tableau pour vous guider en SES</w:t>
      </w:r>
      <w:r w:rsidRPr="002D5BFD">
        <w:rPr>
          <w:b/>
          <w:bCs/>
          <w:color w:val="0070C0"/>
        </w:rPr>
        <w:t xml:space="preserve"> : </w:t>
      </w:r>
    </w:p>
    <w:p w14:paraId="64B50581" w14:textId="67E3082E" w:rsidR="00B44A73" w:rsidRPr="002D5BFD" w:rsidRDefault="006A6DA0" w:rsidP="00CD0FC9">
      <w:pPr>
        <w:pStyle w:val="Sansinterligne"/>
        <w:rPr>
          <w:b/>
          <w:bCs/>
        </w:rPr>
      </w:pPr>
      <w:r>
        <w:rPr>
          <w:b/>
          <w:bCs/>
        </w:rPr>
        <w:t>L</w:t>
      </w:r>
      <w:r w:rsidR="002D5BFD" w:rsidRPr="002D5BFD">
        <w:rPr>
          <w:b/>
          <w:bCs/>
        </w:rPr>
        <w:t>es deux premières colonne</w:t>
      </w:r>
      <w:r>
        <w:rPr>
          <w:b/>
          <w:bCs/>
        </w:rPr>
        <w:t>s</w:t>
      </w:r>
      <w:r w:rsidR="002D5BFD" w:rsidRPr="002D5BFD">
        <w:rPr>
          <w:b/>
          <w:bCs/>
        </w:rPr>
        <w:t xml:space="preserve"> intéressent le programme </w:t>
      </w:r>
      <w:r w:rsidR="002D5BFD">
        <w:rPr>
          <w:b/>
          <w:bCs/>
        </w:rPr>
        <w:t xml:space="preserve">de SES, </w:t>
      </w:r>
      <w:r w:rsidR="002D5BFD" w:rsidRPr="002D5BFD">
        <w:rPr>
          <w:b/>
          <w:bCs/>
        </w:rPr>
        <w:t>la dernière vous est réservée</w:t>
      </w:r>
      <w:r w:rsidR="002D5BFD">
        <w:rPr>
          <w:b/>
          <w:bCs/>
        </w:rPr>
        <w:t> :</w:t>
      </w:r>
      <w:r w:rsidR="002D5BFD" w:rsidRPr="002D5BFD">
        <w:rPr>
          <w:b/>
          <w:bCs/>
        </w:rPr>
        <w:t xml:space="preserve"> compléte</w:t>
      </w:r>
      <w:r w:rsidR="002D5BFD">
        <w:rPr>
          <w:b/>
          <w:bCs/>
        </w:rPr>
        <w:t>z</w:t>
      </w:r>
      <w:r w:rsidR="002D5BFD" w:rsidRPr="002D5BFD">
        <w:rPr>
          <w:b/>
          <w:bCs/>
        </w:rPr>
        <w:t xml:space="preserve"> vos choix </w:t>
      </w:r>
      <w:r w:rsidR="002D5BFD">
        <w:rPr>
          <w:b/>
          <w:bCs/>
        </w:rPr>
        <w:t xml:space="preserve">(questionnement et Objectifs d’apprentissage </w:t>
      </w:r>
      <w:r w:rsidR="002D5BFD" w:rsidRPr="002D5BFD">
        <w:rPr>
          <w:b/>
          <w:bCs/>
        </w:rPr>
        <w:t>et finaliser vos</w:t>
      </w:r>
      <w:r w:rsidR="002D5BFD">
        <w:rPr>
          <w:b/>
          <w:bCs/>
        </w:rPr>
        <w:t>/votre</w:t>
      </w:r>
      <w:r w:rsidR="002D5BFD" w:rsidRPr="002D5BFD">
        <w:rPr>
          <w:b/>
          <w:bCs/>
        </w:rPr>
        <w:t xml:space="preserve"> question</w:t>
      </w:r>
      <w:r w:rsidR="002D5BFD">
        <w:rPr>
          <w:b/>
          <w:bCs/>
        </w:rPr>
        <w:t>(</w:t>
      </w:r>
      <w:r w:rsidR="002D5BFD" w:rsidRPr="002D5BFD">
        <w:rPr>
          <w:b/>
          <w:bCs/>
        </w:rPr>
        <w:t>s</w:t>
      </w:r>
      <w:r w:rsidR="002D5BFD">
        <w:rPr>
          <w:b/>
          <w:bCs/>
        </w:rPr>
        <w:t>)</w:t>
      </w:r>
    </w:p>
    <w:p w14:paraId="0C9ED7C7" w14:textId="44C8B2FA" w:rsidR="00B44A73" w:rsidRDefault="00B44A73" w:rsidP="00CD0FC9">
      <w:pPr>
        <w:pStyle w:val="Sansinterligne"/>
      </w:pPr>
    </w:p>
    <w:tbl>
      <w:tblPr>
        <w:tblW w:w="51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2"/>
        <w:gridCol w:w="25"/>
        <w:gridCol w:w="54"/>
        <w:gridCol w:w="7416"/>
        <w:gridCol w:w="76"/>
        <w:gridCol w:w="5312"/>
        <w:gridCol w:w="328"/>
      </w:tblGrid>
      <w:tr w:rsidR="006A6DA0" w:rsidRPr="002D5BFD" w14:paraId="7050A0AD" w14:textId="77777777" w:rsidTr="006A6DA0">
        <w:trPr>
          <w:trHeight w:val="785"/>
        </w:trPr>
        <w:tc>
          <w:tcPr>
            <w:tcW w:w="812" w:type="pct"/>
            <w:vAlign w:val="center"/>
          </w:tcPr>
          <w:p w14:paraId="4C206E5A" w14:textId="4030AAB7" w:rsidR="002D5BFD" w:rsidRPr="002D5BFD" w:rsidRDefault="002D5BFD" w:rsidP="002D5BFD">
            <w:pPr>
              <w:pStyle w:val="Sansinterligne"/>
              <w:jc w:val="center"/>
              <w:rPr>
                <w:b/>
                <w:bCs/>
                <w:color w:val="0070C0"/>
              </w:rPr>
            </w:pPr>
            <w:bookmarkStart w:id="0" w:name="_Hlk49700142"/>
            <w:r w:rsidRPr="002D5BFD">
              <w:rPr>
                <w:b/>
                <w:bCs/>
                <w:color w:val="0070C0"/>
              </w:rPr>
              <w:t>QUESTIONNEMENT</w:t>
            </w:r>
          </w:p>
        </w:tc>
        <w:tc>
          <w:tcPr>
            <w:tcW w:w="2400" w:type="pct"/>
            <w:gridSpan w:val="4"/>
            <w:vAlign w:val="center"/>
          </w:tcPr>
          <w:p w14:paraId="133656A7" w14:textId="002AF8FC" w:rsidR="002D5BFD" w:rsidRPr="002D5BFD" w:rsidRDefault="002D5BFD" w:rsidP="002D5BFD">
            <w:pPr>
              <w:pStyle w:val="Sansinterligne"/>
              <w:jc w:val="center"/>
              <w:rPr>
                <w:b/>
                <w:bCs/>
                <w:color w:val="0070C0"/>
              </w:rPr>
            </w:pPr>
            <w:r w:rsidRPr="002D5BFD">
              <w:rPr>
                <w:b/>
                <w:bCs/>
                <w:color w:val="0070C0"/>
              </w:rPr>
              <w:t>OBJECTIFS D’APPRENTISSAGE</w:t>
            </w:r>
          </w:p>
        </w:tc>
        <w:tc>
          <w:tcPr>
            <w:tcW w:w="1788" w:type="pct"/>
            <w:gridSpan w:val="2"/>
            <w:vAlign w:val="center"/>
          </w:tcPr>
          <w:p w14:paraId="567CA593" w14:textId="77777777" w:rsidR="006A6DA0" w:rsidRDefault="002D5BFD" w:rsidP="002D5BFD">
            <w:pPr>
              <w:pStyle w:val="Sansinterligne"/>
              <w:jc w:val="center"/>
              <w:rPr>
                <w:b/>
                <w:bCs/>
                <w:color w:val="0070C0"/>
              </w:rPr>
            </w:pPr>
            <w:r w:rsidRPr="002D5BFD">
              <w:rPr>
                <w:b/>
                <w:bCs/>
                <w:color w:val="0070C0"/>
              </w:rPr>
              <w:t>QUESTIONS POSSIBLES</w:t>
            </w:r>
            <w:r w:rsidR="006A6DA0">
              <w:rPr>
                <w:b/>
                <w:bCs/>
                <w:color w:val="0070C0"/>
              </w:rPr>
              <w:t xml:space="preserve"> </w:t>
            </w:r>
          </w:p>
          <w:p w14:paraId="26A703FC" w14:textId="2375D601" w:rsidR="002D5BFD" w:rsidRPr="006A6DA0" w:rsidRDefault="006A6DA0" w:rsidP="002D5BFD">
            <w:pPr>
              <w:pStyle w:val="Sansinterligne"/>
              <w:jc w:val="center"/>
              <w:rPr>
                <w:i/>
                <w:iCs/>
                <w:color w:val="0070C0"/>
              </w:rPr>
            </w:pPr>
            <w:r w:rsidRPr="006A6DA0">
              <w:rPr>
                <w:i/>
                <w:iCs/>
                <w:color w:val="0070C0"/>
              </w:rPr>
              <w:t>en lien avec les questionnements et objectifs d’apprentissage</w:t>
            </w:r>
            <w:r w:rsidR="004740F2">
              <w:rPr>
                <w:i/>
                <w:iCs/>
                <w:color w:val="0070C0"/>
              </w:rPr>
              <w:t xml:space="preserve"> et le projet d’orientation</w:t>
            </w:r>
          </w:p>
        </w:tc>
      </w:tr>
      <w:tr w:rsidR="002D5BFD" w:rsidRPr="002D5BFD" w14:paraId="633DF694" w14:textId="77777777" w:rsidTr="006A6DA0">
        <w:trPr>
          <w:trHeight w:val="785"/>
        </w:trPr>
        <w:tc>
          <w:tcPr>
            <w:tcW w:w="5000" w:type="pct"/>
            <w:gridSpan w:val="7"/>
            <w:vAlign w:val="center"/>
          </w:tcPr>
          <w:p w14:paraId="40DC6C92" w14:textId="523A241B" w:rsidR="002D5BFD" w:rsidRPr="002D5BFD" w:rsidRDefault="002D5BFD" w:rsidP="002D5BFD">
            <w:pPr>
              <w:pStyle w:val="Sansinterligne"/>
              <w:rPr>
                <w:b/>
                <w:bCs/>
                <w:color w:val="0070C0"/>
              </w:rPr>
            </w:pPr>
            <w:r>
              <w:rPr>
                <w:b/>
                <w:bCs/>
                <w:color w:val="0070C0"/>
              </w:rPr>
              <w:t xml:space="preserve">PARTIE SCIENCE ÉCONOMIQUE </w:t>
            </w:r>
          </w:p>
        </w:tc>
      </w:tr>
      <w:bookmarkEnd w:id="0"/>
      <w:tr w:rsidR="006A6DA0" w:rsidRPr="00B44A73" w14:paraId="25020278" w14:textId="009EFD03" w:rsidTr="006A6DA0">
        <w:trPr>
          <w:trHeight w:val="2203"/>
        </w:trPr>
        <w:tc>
          <w:tcPr>
            <w:tcW w:w="812" w:type="pct"/>
          </w:tcPr>
          <w:p w14:paraId="5D6C4013" w14:textId="77777777" w:rsidR="00B44A73" w:rsidRPr="009F2493" w:rsidRDefault="00B44A73" w:rsidP="00B44A73">
            <w:pPr>
              <w:pStyle w:val="Sansinterligne"/>
              <w:rPr>
                <w:b/>
                <w:bCs/>
              </w:rPr>
            </w:pPr>
            <w:r w:rsidRPr="009F2493">
              <w:rPr>
                <w:b/>
                <w:bCs/>
              </w:rPr>
              <w:t xml:space="preserve">Quels sont les sources et les défis de la croissance économique ? </w:t>
            </w:r>
          </w:p>
        </w:tc>
        <w:tc>
          <w:tcPr>
            <w:tcW w:w="2400" w:type="pct"/>
            <w:gridSpan w:val="4"/>
          </w:tcPr>
          <w:p w14:paraId="48D2284E" w14:textId="77777777" w:rsidR="00B44A73" w:rsidRPr="00B44A73" w:rsidRDefault="00B44A73" w:rsidP="00B44A73">
            <w:pPr>
              <w:pStyle w:val="Sansinterligne"/>
            </w:pPr>
            <w:r w:rsidRPr="00B44A73">
              <w:t xml:space="preserve">- Comprendre le processus de croissance économique et les sources de la croissance : accumulation des facteurs et accroissement de la productivité globale des facteurs ; comprendre le lien entre le progrès technique et l’accroissement de la productivité globale des facteurs. </w:t>
            </w:r>
          </w:p>
          <w:p w14:paraId="41612728" w14:textId="77777777" w:rsidR="00B44A73" w:rsidRPr="00B44A73" w:rsidRDefault="00B44A73" w:rsidP="00B44A73">
            <w:pPr>
              <w:pStyle w:val="Sansinterligne"/>
            </w:pPr>
            <w:r w:rsidRPr="00B44A73">
              <w:t xml:space="preserve">- Comprendre que le progrès technique est endogène et qu’il résulte en particulier de l’innovation. </w:t>
            </w:r>
          </w:p>
          <w:p w14:paraId="4727F5CF" w14:textId="77777777" w:rsidR="00B44A73" w:rsidRPr="00B44A73" w:rsidRDefault="00B44A73" w:rsidP="00B44A73">
            <w:pPr>
              <w:pStyle w:val="Sansinterligne"/>
            </w:pPr>
            <w:r w:rsidRPr="00B44A73">
              <w:t xml:space="preserve">- Comprendre comment les institutions (notamment les droits de propriété) influent sur la croissance en affectant l’incitation à investir et innover ; savoir que l’innovation s’accompagne d'un processus de destruction créatrice. </w:t>
            </w:r>
          </w:p>
          <w:p w14:paraId="630DDC97" w14:textId="77777777" w:rsidR="00B44A73" w:rsidRPr="00B44A73" w:rsidRDefault="00B44A73" w:rsidP="00B44A73">
            <w:pPr>
              <w:pStyle w:val="Sansinterligne"/>
            </w:pPr>
            <w:r w:rsidRPr="00B44A73">
              <w:t xml:space="preserve">- Comprendre comment le progrès technique peut engendrer des inégalités de revenus. </w:t>
            </w:r>
          </w:p>
          <w:p w14:paraId="62EFCFC1" w14:textId="69DDA4DE" w:rsidR="00B44A73" w:rsidRPr="00B44A73" w:rsidRDefault="00B44A73" w:rsidP="00B44A73">
            <w:pPr>
              <w:pStyle w:val="Sansinterligne"/>
            </w:pPr>
            <w:r w:rsidRPr="00B44A73">
              <w:t xml:space="preserve">- Comprendre qu’une croissance économique soutenable se heurte à des limites écologiques (notamment l’épuisement des ressources, la pollution et le réchauffement climatique) et que l’innovation peut aider à reculer ces limites. </w:t>
            </w:r>
          </w:p>
        </w:tc>
        <w:tc>
          <w:tcPr>
            <w:tcW w:w="1788" w:type="pct"/>
            <w:gridSpan w:val="2"/>
          </w:tcPr>
          <w:p w14:paraId="6E5D0479" w14:textId="77777777" w:rsidR="00B44A73" w:rsidRPr="00B44A73" w:rsidRDefault="00B44A73" w:rsidP="00B44A73">
            <w:pPr>
              <w:pStyle w:val="Sansinterligne"/>
            </w:pPr>
          </w:p>
        </w:tc>
      </w:tr>
      <w:tr w:rsidR="006A6DA0" w:rsidRPr="00B44A73" w14:paraId="736C3431" w14:textId="0181927E" w:rsidTr="006A6DA0">
        <w:trPr>
          <w:trHeight w:val="564"/>
        </w:trPr>
        <w:tc>
          <w:tcPr>
            <w:tcW w:w="812" w:type="pct"/>
          </w:tcPr>
          <w:p w14:paraId="592589E3" w14:textId="77777777" w:rsidR="00B44A73" w:rsidRPr="009F2493" w:rsidRDefault="00B44A73" w:rsidP="00B44A73">
            <w:pPr>
              <w:pStyle w:val="Sansinterligne"/>
              <w:rPr>
                <w:b/>
                <w:bCs/>
              </w:rPr>
            </w:pPr>
            <w:r w:rsidRPr="009F2493">
              <w:rPr>
                <w:b/>
                <w:bCs/>
              </w:rPr>
              <w:t xml:space="preserve">Quels sont les fondements du commerce international et de l’internationalisation de la production ? </w:t>
            </w:r>
          </w:p>
        </w:tc>
        <w:tc>
          <w:tcPr>
            <w:tcW w:w="2400" w:type="pct"/>
            <w:gridSpan w:val="4"/>
          </w:tcPr>
          <w:p w14:paraId="5DAD821E" w14:textId="77777777" w:rsidR="00B44A73" w:rsidRPr="00B44A73" w:rsidRDefault="00B44A73" w:rsidP="00B44A73">
            <w:pPr>
              <w:pStyle w:val="Sansinterligne"/>
            </w:pPr>
            <w:r w:rsidRPr="00B44A73">
              <w:t xml:space="preserve">- Comprendre le rôle des dotations factorielles et technologiques (avantages comparatifs) dans les échanges commerciaux et la spécialisation internationale. </w:t>
            </w:r>
          </w:p>
          <w:p w14:paraId="646591C3" w14:textId="77777777" w:rsidR="00B44A73" w:rsidRPr="00B44A73" w:rsidRDefault="00B44A73" w:rsidP="00B44A73">
            <w:pPr>
              <w:pStyle w:val="Sansinterligne"/>
            </w:pPr>
            <w:r w:rsidRPr="00B44A73">
              <w:t xml:space="preserve">- Comprendre le commerce entre pays comparables (différenciation des produits, qualité des produits, et fragmentation de la chaîne de valeur). </w:t>
            </w:r>
          </w:p>
          <w:p w14:paraId="2795D004" w14:textId="77777777" w:rsidR="00B44A73" w:rsidRPr="00B44A73" w:rsidRDefault="00B44A73" w:rsidP="00B44A73">
            <w:pPr>
              <w:pStyle w:val="Sansinterligne"/>
            </w:pPr>
            <w:r w:rsidRPr="00B44A73">
              <w:t xml:space="preserve">- Comprendre que la productivité des firmes sous-tend la compétitivité d’un pays, c’est-à-dire son aptitude à exporter. </w:t>
            </w:r>
          </w:p>
          <w:p w14:paraId="3959EBB1" w14:textId="77777777" w:rsidR="00B44A73" w:rsidRPr="00B44A73" w:rsidRDefault="00B44A73" w:rsidP="00B44A73">
            <w:pPr>
              <w:pStyle w:val="Sansinterligne"/>
            </w:pPr>
            <w:r w:rsidRPr="00B44A73">
              <w:t xml:space="preserve">- Comprendre l’internationalisation de la chaîne de valeur et savoir l’illustrer. </w:t>
            </w:r>
          </w:p>
          <w:p w14:paraId="0D403634" w14:textId="5582B2B6" w:rsidR="002D5BFD" w:rsidRPr="00B44A73" w:rsidRDefault="00B44A73" w:rsidP="00E65285">
            <w:pPr>
              <w:pStyle w:val="Sansinterligne"/>
            </w:pPr>
            <w:r w:rsidRPr="00B44A73">
              <w:t xml:space="preserve">- Comprendre les effets induits par le commerce international : gains moyens en termes de baisse de prix, réduction des inégalités entre pays, accroissement des inégalités de revenus au sein de chaque pays ; comprendre les termes du débat entre libre-échange et protectionnisme. </w:t>
            </w:r>
          </w:p>
        </w:tc>
        <w:tc>
          <w:tcPr>
            <w:tcW w:w="1788" w:type="pct"/>
            <w:gridSpan w:val="2"/>
          </w:tcPr>
          <w:p w14:paraId="62DDA671" w14:textId="77777777" w:rsidR="00B44A73" w:rsidRPr="00B44A73" w:rsidRDefault="00B44A73" w:rsidP="00B44A73">
            <w:pPr>
              <w:pStyle w:val="Sansinterligne"/>
            </w:pPr>
          </w:p>
        </w:tc>
      </w:tr>
      <w:tr w:rsidR="006A6DA0" w:rsidRPr="00B44A73" w14:paraId="39DEC4C5" w14:textId="77777777" w:rsidTr="006A6DA0">
        <w:trPr>
          <w:trHeight w:val="416"/>
        </w:trPr>
        <w:tc>
          <w:tcPr>
            <w:tcW w:w="812" w:type="pct"/>
          </w:tcPr>
          <w:p w14:paraId="0BD89962" w14:textId="1E7C6018" w:rsidR="00B44A73" w:rsidRPr="009F2493" w:rsidRDefault="00B44A73" w:rsidP="00B44A73">
            <w:pPr>
              <w:pStyle w:val="Sansinterligne"/>
              <w:rPr>
                <w:b/>
                <w:bCs/>
              </w:rPr>
            </w:pPr>
            <w:r w:rsidRPr="009F2493">
              <w:rPr>
                <w:b/>
                <w:bCs/>
              </w:rPr>
              <w:lastRenderedPageBreak/>
              <w:t xml:space="preserve">Comment lutter contre le chômage ?  </w:t>
            </w:r>
          </w:p>
        </w:tc>
        <w:tc>
          <w:tcPr>
            <w:tcW w:w="2400" w:type="pct"/>
            <w:gridSpan w:val="4"/>
          </w:tcPr>
          <w:p w14:paraId="6C28AAB4" w14:textId="77777777" w:rsidR="00B44A73" w:rsidRDefault="00B44A73" w:rsidP="00B44A73">
            <w:pPr>
              <w:pStyle w:val="Sansinterligne"/>
            </w:pPr>
            <w:r>
              <w:t>- Savoir définir le chômage et le sous-emploi et connaître les indicateurs de taux de chômage et de taux d’emploi.</w:t>
            </w:r>
          </w:p>
          <w:p w14:paraId="6F29A902" w14:textId="77777777" w:rsidR="00B44A73" w:rsidRDefault="00B44A73" w:rsidP="00B44A73">
            <w:pPr>
              <w:pStyle w:val="Sansinterligne"/>
            </w:pPr>
            <w:r>
              <w:t>- Comprendre que les problèmes d’appariements (frictions, inadéquations spatiales et de qualifications) et les asymétries d’information (salaire d’efficience) sont des sources de chômage structurel.</w:t>
            </w:r>
          </w:p>
          <w:p w14:paraId="2C45A80A" w14:textId="77777777" w:rsidR="00B44A73" w:rsidRDefault="00B44A73" w:rsidP="00B44A73">
            <w:pPr>
              <w:pStyle w:val="Sansinterligne"/>
            </w:pPr>
            <w:r>
              <w:t>- Comprendre les effets (positifs ou négatifs) des institutions sur le chômage structurel (notamment salaire minimum et règles de protection de l'emploi).</w:t>
            </w:r>
          </w:p>
          <w:p w14:paraId="074C5A48" w14:textId="77777777" w:rsidR="00B44A73" w:rsidRDefault="00B44A73" w:rsidP="00B44A73">
            <w:pPr>
              <w:pStyle w:val="Sansinterligne"/>
            </w:pPr>
            <w:r>
              <w:t>- Comprendre les effets des fluctuations de l’activité économique sur le chômage conjoncturel.</w:t>
            </w:r>
          </w:p>
          <w:p w14:paraId="0F81002C" w14:textId="0AF4E0E5" w:rsidR="00B44A73" w:rsidRPr="00B44A73" w:rsidRDefault="00B44A73" w:rsidP="00B44A73">
            <w:pPr>
              <w:pStyle w:val="Sansinterligne"/>
            </w:pPr>
            <w:r>
              <w:t xml:space="preserve">- Connaître les principales politiques mises en </w:t>
            </w:r>
            <w:proofErr w:type="spellStart"/>
            <w:r>
              <w:t>oeuvre</w:t>
            </w:r>
            <w:proofErr w:type="spellEnd"/>
            <w:r>
              <w:t xml:space="preserve"> pour lutter contre le chômage : politiques macroéconomiques de soutien de la demande globale, politiques d’allégement du coût du travail, politiques de formation et politiques de flexibilisation pour lutter contre les rigidités du marché du travail.</w:t>
            </w:r>
          </w:p>
        </w:tc>
        <w:tc>
          <w:tcPr>
            <w:tcW w:w="1788" w:type="pct"/>
            <w:gridSpan w:val="2"/>
          </w:tcPr>
          <w:p w14:paraId="62F05AF8" w14:textId="77777777" w:rsidR="00B44A73" w:rsidRPr="00B44A73" w:rsidRDefault="00B44A73" w:rsidP="00B44A73">
            <w:pPr>
              <w:pStyle w:val="Sansinterligne"/>
            </w:pPr>
          </w:p>
        </w:tc>
      </w:tr>
      <w:tr w:rsidR="006A6DA0" w:rsidRPr="00B44A73" w14:paraId="09469983" w14:textId="77777777" w:rsidTr="006A6DA0">
        <w:trPr>
          <w:trHeight w:val="416"/>
        </w:trPr>
        <w:tc>
          <w:tcPr>
            <w:tcW w:w="812" w:type="pct"/>
          </w:tcPr>
          <w:p w14:paraId="7502F8C8" w14:textId="240B2976" w:rsidR="00F721D3" w:rsidRPr="009F2493" w:rsidRDefault="00F721D3" w:rsidP="00B44A73">
            <w:pPr>
              <w:pStyle w:val="Sansinterligne"/>
              <w:rPr>
                <w:b/>
                <w:bCs/>
              </w:rPr>
            </w:pPr>
            <w:r w:rsidRPr="009F2493">
              <w:rPr>
                <w:b/>
                <w:bCs/>
              </w:rPr>
              <w:t>Comment expliquer les crises financières e réguler le système financier ?</w:t>
            </w:r>
          </w:p>
        </w:tc>
        <w:tc>
          <w:tcPr>
            <w:tcW w:w="2400" w:type="pct"/>
            <w:gridSpan w:val="4"/>
          </w:tcPr>
          <w:p w14:paraId="0563BD57" w14:textId="77777777" w:rsidR="00F721D3" w:rsidRDefault="00F721D3" w:rsidP="00F721D3">
            <w:pPr>
              <w:pStyle w:val="Sansinterligne"/>
            </w:pPr>
            <w:r>
              <w:t>- Connaître les principales caractéristiques de la crise financière des années 1930 et de celle de 2008 (effondrement boursier, faillites en chaîne, chute du PIB et accroissement du chômage).</w:t>
            </w:r>
          </w:p>
          <w:p w14:paraId="5E635C1D" w14:textId="77777777" w:rsidR="00F721D3" w:rsidRDefault="00F721D3" w:rsidP="00F721D3">
            <w:pPr>
              <w:pStyle w:val="Sansinterligne"/>
            </w:pPr>
            <w:r>
              <w:t>- Comprendre et savoir illustrer la formation et l’éclatement d’une bulle spéculative (comportements mimétiques et prophéties auto réalisatrices).</w:t>
            </w:r>
          </w:p>
          <w:p w14:paraId="24D1B681" w14:textId="77777777" w:rsidR="00F721D3" w:rsidRDefault="00F721D3" w:rsidP="00F721D3">
            <w:pPr>
              <w:pStyle w:val="Sansinterligne"/>
            </w:pPr>
            <w:r>
              <w:t>- Comprendre les phénomènes de panique bancaire et de faillites bancaires en chaîne.</w:t>
            </w:r>
          </w:p>
          <w:p w14:paraId="1C5330E8" w14:textId="77777777" w:rsidR="00F721D3" w:rsidRDefault="00F721D3" w:rsidP="00F721D3">
            <w:pPr>
              <w:pStyle w:val="Sansinterligne"/>
            </w:pPr>
            <w:r>
              <w:t>- Connaître les principaux canaux de transmission d’une crise financière à l’économie réelle : effets de richesse négatif, baisse du prix du collatéral et ventes forcées, contraction du crédit.</w:t>
            </w:r>
          </w:p>
          <w:p w14:paraId="0E0EF6B6" w14:textId="3E87F70B" w:rsidR="00F721D3" w:rsidRDefault="00F721D3" w:rsidP="00F721D3">
            <w:pPr>
              <w:pStyle w:val="Sansinterligne"/>
            </w:pPr>
            <w:r>
              <w:t>- Connaître les principaux instruments de régulation du système bancaire et financier qui permettent de réduire l’aléa moral des banques : supervision des banques par la banque centrale, ratio de solvabilité.</w:t>
            </w:r>
          </w:p>
        </w:tc>
        <w:tc>
          <w:tcPr>
            <w:tcW w:w="1788" w:type="pct"/>
            <w:gridSpan w:val="2"/>
          </w:tcPr>
          <w:p w14:paraId="6F1B66E0" w14:textId="77777777" w:rsidR="00F721D3" w:rsidRPr="00B44A73" w:rsidRDefault="00F721D3" w:rsidP="00B44A73">
            <w:pPr>
              <w:pStyle w:val="Sansinterligne"/>
            </w:pPr>
          </w:p>
        </w:tc>
      </w:tr>
      <w:tr w:rsidR="006A6DA0" w:rsidRPr="00B44A73" w14:paraId="0C0F1251" w14:textId="77777777" w:rsidTr="006A6DA0">
        <w:trPr>
          <w:trHeight w:val="416"/>
        </w:trPr>
        <w:tc>
          <w:tcPr>
            <w:tcW w:w="812" w:type="pct"/>
          </w:tcPr>
          <w:p w14:paraId="620983A0" w14:textId="7C425B6D" w:rsidR="00F721D3" w:rsidRPr="009F2493" w:rsidRDefault="00F721D3" w:rsidP="00B44A73">
            <w:pPr>
              <w:pStyle w:val="Sansinterligne"/>
              <w:rPr>
                <w:b/>
                <w:bCs/>
              </w:rPr>
            </w:pPr>
            <w:r w:rsidRPr="009F2493">
              <w:rPr>
                <w:b/>
                <w:bCs/>
              </w:rPr>
              <w:t>Quelles politiques économiques dans le cadre européen ?</w:t>
            </w:r>
          </w:p>
        </w:tc>
        <w:tc>
          <w:tcPr>
            <w:tcW w:w="2400" w:type="pct"/>
            <w:gridSpan w:val="4"/>
          </w:tcPr>
          <w:p w14:paraId="0BF168DC" w14:textId="77777777" w:rsidR="00F721D3" w:rsidRDefault="00F721D3" w:rsidP="00F721D3">
            <w:pPr>
              <w:pStyle w:val="Sansinterligne"/>
            </w:pPr>
            <w:r>
              <w:t>- Connaître les grandes caractéristiques de l’intégration européenne (marché unique et zone euro) ; comprendre les effets du marché unique sur la croissance.</w:t>
            </w:r>
          </w:p>
          <w:p w14:paraId="47506443" w14:textId="77777777" w:rsidR="00F721D3" w:rsidRDefault="00F721D3" w:rsidP="00F721D3">
            <w:pPr>
              <w:pStyle w:val="Sansinterligne"/>
            </w:pPr>
            <w:r>
              <w:t>- Comprendre les objectifs, les modalités et les limites de la politique européenne de la concurrence.</w:t>
            </w:r>
          </w:p>
          <w:p w14:paraId="72233BD9" w14:textId="77777777" w:rsidR="00F721D3" w:rsidRDefault="00F721D3" w:rsidP="00F721D3">
            <w:pPr>
              <w:pStyle w:val="Sansinterligne"/>
            </w:pPr>
            <w:r>
              <w:t>- Comprendre comment la politique monétaire et la politique budgétaire agissent sur la conjoncture.</w:t>
            </w:r>
          </w:p>
          <w:p w14:paraId="220B76F4" w14:textId="4CBBE80C" w:rsidR="00F721D3" w:rsidRDefault="00F721D3" w:rsidP="00F721D3">
            <w:pPr>
              <w:pStyle w:val="Sansinterligne"/>
            </w:pPr>
            <w:r>
              <w:t>- Savoir que la politique monétaire dans la zone euro, conduite de façon indépendante par la Banque centrale européenne, est unique alors que la politique budgétaire est du ressort de chaque pays membre mais contrainte par les traités européens ; comprendre les difficultés soulevées par cette situation (défaut de coordination, chocs asymétriques).</w:t>
            </w:r>
          </w:p>
        </w:tc>
        <w:tc>
          <w:tcPr>
            <w:tcW w:w="1788" w:type="pct"/>
            <w:gridSpan w:val="2"/>
          </w:tcPr>
          <w:p w14:paraId="2CDF42B6" w14:textId="77777777" w:rsidR="00F721D3" w:rsidRPr="00B44A73" w:rsidRDefault="00F721D3" w:rsidP="00B44A73">
            <w:pPr>
              <w:pStyle w:val="Sansinterligne"/>
            </w:pPr>
          </w:p>
        </w:tc>
      </w:tr>
      <w:tr w:rsidR="006A6DA0" w:rsidRPr="002D5BFD" w14:paraId="090DCD9C" w14:textId="77777777" w:rsidTr="006A6DA0">
        <w:trPr>
          <w:gridAfter w:val="1"/>
          <w:wAfter w:w="104" w:type="pct"/>
          <w:trHeight w:val="785"/>
        </w:trPr>
        <w:tc>
          <w:tcPr>
            <w:tcW w:w="820" w:type="pct"/>
            <w:gridSpan w:val="2"/>
            <w:vAlign w:val="center"/>
          </w:tcPr>
          <w:p w14:paraId="012D6A49" w14:textId="0AE07841" w:rsidR="002D5BFD" w:rsidRPr="002D5BFD" w:rsidRDefault="00D716E7" w:rsidP="00A76BE8">
            <w:pPr>
              <w:pStyle w:val="Sansinterligne"/>
              <w:jc w:val="center"/>
              <w:rPr>
                <w:b/>
                <w:bCs/>
                <w:color w:val="0070C0"/>
              </w:rPr>
            </w:pPr>
            <w:r>
              <w:lastRenderedPageBreak/>
              <w:t xml:space="preserve"> </w:t>
            </w:r>
            <w:bookmarkStart w:id="1" w:name="_Hlk49700513"/>
            <w:r w:rsidR="002D5BFD" w:rsidRPr="002D5BFD">
              <w:rPr>
                <w:b/>
                <w:bCs/>
                <w:color w:val="0070C0"/>
              </w:rPr>
              <w:t>QUESTIONNEMENT</w:t>
            </w:r>
          </w:p>
        </w:tc>
        <w:tc>
          <w:tcPr>
            <w:tcW w:w="2368" w:type="pct"/>
            <w:gridSpan w:val="2"/>
            <w:vAlign w:val="center"/>
          </w:tcPr>
          <w:p w14:paraId="4653319C" w14:textId="77777777" w:rsidR="002D5BFD" w:rsidRPr="002D5BFD" w:rsidRDefault="002D5BFD" w:rsidP="00A76BE8">
            <w:pPr>
              <w:pStyle w:val="Sansinterligne"/>
              <w:jc w:val="center"/>
              <w:rPr>
                <w:b/>
                <w:bCs/>
                <w:color w:val="0070C0"/>
              </w:rPr>
            </w:pPr>
            <w:r w:rsidRPr="002D5BFD">
              <w:rPr>
                <w:b/>
                <w:bCs/>
                <w:color w:val="0070C0"/>
              </w:rPr>
              <w:t>OBJECTIFS D’APPRENTISSAGE</w:t>
            </w:r>
          </w:p>
        </w:tc>
        <w:tc>
          <w:tcPr>
            <w:tcW w:w="1708" w:type="pct"/>
            <w:gridSpan w:val="2"/>
            <w:vAlign w:val="center"/>
          </w:tcPr>
          <w:p w14:paraId="0245CE7B" w14:textId="77777777" w:rsidR="006A6DA0" w:rsidRDefault="002D5BFD" w:rsidP="00A76BE8">
            <w:pPr>
              <w:pStyle w:val="Sansinterligne"/>
              <w:jc w:val="center"/>
            </w:pPr>
            <w:r w:rsidRPr="002D5BFD">
              <w:rPr>
                <w:b/>
                <w:bCs/>
                <w:color w:val="0070C0"/>
              </w:rPr>
              <w:t>QUESTIONS POSSIBLES</w:t>
            </w:r>
            <w:r w:rsidR="006A6DA0">
              <w:t xml:space="preserve"> </w:t>
            </w:r>
          </w:p>
          <w:p w14:paraId="00A30545" w14:textId="72F80884" w:rsidR="002D5BFD" w:rsidRPr="006A6DA0" w:rsidRDefault="006A6DA0" w:rsidP="00A76BE8">
            <w:pPr>
              <w:pStyle w:val="Sansinterligne"/>
              <w:jc w:val="center"/>
              <w:rPr>
                <w:i/>
                <w:iCs/>
                <w:color w:val="0070C0"/>
              </w:rPr>
            </w:pPr>
            <w:r w:rsidRPr="006A6DA0">
              <w:rPr>
                <w:i/>
                <w:iCs/>
                <w:color w:val="0070C0"/>
              </w:rPr>
              <w:t>en lien avec les questionnements et objectifs d’apprentissage</w:t>
            </w:r>
            <w:r w:rsidR="004740F2">
              <w:t xml:space="preserve"> </w:t>
            </w:r>
            <w:r w:rsidR="004740F2" w:rsidRPr="004740F2">
              <w:rPr>
                <w:i/>
                <w:iCs/>
                <w:color w:val="0070C0"/>
              </w:rPr>
              <w:t>et le projet d’orientation</w:t>
            </w:r>
          </w:p>
        </w:tc>
      </w:tr>
      <w:tr w:rsidR="00E65285" w:rsidRPr="002D5BFD" w14:paraId="1157A7DA" w14:textId="77777777" w:rsidTr="006A6DA0">
        <w:trPr>
          <w:gridAfter w:val="1"/>
          <w:wAfter w:w="104" w:type="pct"/>
          <w:trHeight w:val="785"/>
        </w:trPr>
        <w:tc>
          <w:tcPr>
            <w:tcW w:w="4896" w:type="pct"/>
            <w:gridSpan w:val="6"/>
            <w:vAlign w:val="center"/>
          </w:tcPr>
          <w:p w14:paraId="71958D39" w14:textId="3D09C16E" w:rsidR="002D5BFD" w:rsidRPr="002D5BFD" w:rsidRDefault="002D5BFD" w:rsidP="00A76BE8">
            <w:pPr>
              <w:pStyle w:val="Sansinterligne"/>
              <w:rPr>
                <w:b/>
                <w:bCs/>
                <w:color w:val="0070C0"/>
              </w:rPr>
            </w:pPr>
            <w:r>
              <w:rPr>
                <w:b/>
                <w:bCs/>
                <w:color w:val="0070C0"/>
              </w:rPr>
              <w:t xml:space="preserve">PARTIE SOCIOLOGIE ET SCIENCE POLITIQUE  </w:t>
            </w:r>
          </w:p>
        </w:tc>
      </w:tr>
      <w:bookmarkEnd w:id="1"/>
      <w:tr w:rsidR="006A6DA0" w:rsidRPr="00F721D3" w14:paraId="062174C5" w14:textId="5CA439D1" w:rsidTr="006A6DA0">
        <w:trPr>
          <w:gridAfter w:val="1"/>
          <w:wAfter w:w="104" w:type="pct"/>
          <w:trHeight w:val="2166"/>
        </w:trPr>
        <w:tc>
          <w:tcPr>
            <w:tcW w:w="837" w:type="pct"/>
            <w:gridSpan w:val="3"/>
          </w:tcPr>
          <w:p w14:paraId="5EE815AB" w14:textId="77777777" w:rsidR="00F721D3" w:rsidRPr="00F721D3" w:rsidRDefault="00F721D3" w:rsidP="009F2493">
            <w:pPr>
              <w:pStyle w:val="Default"/>
              <w:rPr>
                <w:rFonts w:asciiTheme="minorHAnsi" w:hAnsiTheme="minorHAnsi" w:cstheme="minorHAnsi"/>
                <w:sz w:val="22"/>
                <w:szCs w:val="22"/>
              </w:rPr>
            </w:pPr>
            <w:r w:rsidRPr="00F721D3">
              <w:rPr>
                <w:rFonts w:asciiTheme="minorHAnsi" w:hAnsiTheme="minorHAnsi" w:cstheme="minorHAnsi"/>
                <w:b/>
                <w:bCs/>
                <w:sz w:val="22"/>
                <w:szCs w:val="22"/>
              </w:rPr>
              <w:t xml:space="preserve">Comment est structurée la société française actuelle ? </w:t>
            </w:r>
          </w:p>
        </w:tc>
        <w:tc>
          <w:tcPr>
            <w:tcW w:w="2351" w:type="pct"/>
          </w:tcPr>
          <w:p w14:paraId="38141BEC" w14:textId="77777777" w:rsidR="00F721D3" w:rsidRPr="00F721D3" w:rsidRDefault="00F721D3">
            <w:pPr>
              <w:pStyle w:val="Default"/>
              <w:rPr>
                <w:rFonts w:asciiTheme="minorHAnsi" w:hAnsiTheme="minorHAnsi" w:cstheme="minorHAnsi"/>
                <w:sz w:val="22"/>
                <w:szCs w:val="22"/>
              </w:rPr>
            </w:pPr>
            <w:r w:rsidRPr="00F721D3">
              <w:rPr>
                <w:rFonts w:asciiTheme="minorHAnsi" w:hAnsiTheme="minorHAnsi" w:cstheme="minorHAnsi"/>
                <w:b/>
                <w:bCs/>
                <w:sz w:val="22"/>
                <w:szCs w:val="22"/>
              </w:rPr>
              <w:t xml:space="preserve">- </w:t>
            </w:r>
            <w:r w:rsidRPr="00F721D3">
              <w:rPr>
                <w:rFonts w:asciiTheme="minorHAnsi" w:hAnsiTheme="minorHAnsi" w:cstheme="minorHAnsi"/>
                <w:sz w:val="22"/>
                <w:szCs w:val="22"/>
              </w:rPr>
              <w:t xml:space="preserve">Savoir identifier les multiples facteurs de structuration et de hiérarchisation de l’espace social (catégorie socioprofessionnelle, revenu, diplôme, composition du ménage, position dans le cycle de vie, sexe, lieu de résidence). </w:t>
            </w:r>
          </w:p>
          <w:p w14:paraId="76800CA4" w14:textId="77777777" w:rsidR="00F721D3" w:rsidRPr="00F721D3" w:rsidRDefault="00F721D3">
            <w:pPr>
              <w:pStyle w:val="Default"/>
              <w:rPr>
                <w:rFonts w:asciiTheme="minorHAnsi" w:hAnsiTheme="minorHAnsi" w:cstheme="minorHAnsi"/>
                <w:sz w:val="22"/>
                <w:szCs w:val="22"/>
              </w:rPr>
            </w:pPr>
            <w:r w:rsidRPr="00F721D3">
              <w:rPr>
                <w:rFonts w:asciiTheme="minorHAnsi" w:hAnsiTheme="minorHAnsi" w:cstheme="minorHAnsi"/>
                <w:b/>
                <w:bCs/>
                <w:sz w:val="22"/>
                <w:szCs w:val="22"/>
              </w:rPr>
              <w:t xml:space="preserve">- </w:t>
            </w:r>
            <w:r w:rsidRPr="00F721D3">
              <w:rPr>
                <w:rFonts w:asciiTheme="minorHAnsi" w:hAnsiTheme="minorHAnsi" w:cstheme="minorHAnsi"/>
                <w:sz w:val="22"/>
                <w:szCs w:val="22"/>
              </w:rPr>
              <w:t xml:space="preserve">Comprendre les principales évolutions de la structure socioprofessionnelle en France depuis la seconde moitié du XXe siècle (salarisation, tertiarisation, élévation du niveau de qualification, féminisation des emplois). </w:t>
            </w:r>
          </w:p>
          <w:p w14:paraId="2971DC9A" w14:textId="77777777" w:rsidR="00F721D3" w:rsidRPr="00F721D3" w:rsidRDefault="00F721D3">
            <w:pPr>
              <w:pStyle w:val="Default"/>
              <w:rPr>
                <w:rFonts w:asciiTheme="minorHAnsi" w:hAnsiTheme="minorHAnsi" w:cstheme="minorHAnsi"/>
                <w:sz w:val="22"/>
                <w:szCs w:val="22"/>
              </w:rPr>
            </w:pPr>
            <w:r w:rsidRPr="00F721D3">
              <w:rPr>
                <w:rFonts w:asciiTheme="minorHAnsi" w:hAnsiTheme="minorHAnsi" w:cstheme="minorHAnsi"/>
                <w:b/>
                <w:bCs/>
                <w:sz w:val="22"/>
                <w:szCs w:val="22"/>
              </w:rPr>
              <w:t xml:space="preserve">- </w:t>
            </w:r>
            <w:r w:rsidRPr="00F721D3">
              <w:rPr>
                <w:rFonts w:asciiTheme="minorHAnsi" w:hAnsiTheme="minorHAnsi" w:cstheme="minorHAnsi"/>
                <w:sz w:val="22"/>
                <w:szCs w:val="22"/>
              </w:rPr>
              <w:t xml:space="preserve">Connaître les théories des classes et de la stratification sociale dans la tradition sociologique (Marx, Weber) ; comprendre que la pertinence d’une approche en termes de classes sociales pour rendre compte de la société française fait l’objet de débats théoriques et statistiques : évolution des distances inter- et intra-classes, articulation avec les rapports sociaux de genre, identifications subjectives à un groupe social, multiplication des facteurs d’individualisation. </w:t>
            </w:r>
          </w:p>
          <w:p w14:paraId="1028BE84" w14:textId="77777777" w:rsidR="00F721D3" w:rsidRPr="00F721D3" w:rsidRDefault="00F721D3">
            <w:pPr>
              <w:pStyle w:val="Default"/>
              <w:rPr>
                <w:rFonts w:asciiTheme="minorHAnsi" w:hAnsiTheme="minorHAnsi" w:cstheme="minorHAnsi"/>
                <w:sz w:val="22"/>
                <w:szCs w:val="22"/>
              </w:rPr>
            </w:pPr>
          </w:p>
        </w:tc>
        <w:tc>
          <w:tcPr>
            <w:tcW w:w="1708" w:type="pct"/>
            <w:gridSpan w:val="2"/>
          </w:tcPr>
          <w:p w14:paraId="234AF705" w14:textId="77777777" w:rsidR="00F721D3" w:rsidRPr="00F721D3" w:rsidRDefault="00F721D3" w:rsidP="00F721D3">
            <w:pPr>
              <w:pStyle w:val="Default"/>
              <w:ind w:right="-108"/>
              <w:rPr>
                <w:rFonts w:asciiTheme="minorHAnsi" w:hAnsiTheme="minorHAnsi" w:cstheme="minorHAnsi"/>
                <w:color w:val="auto"/>
                <w:sz w:val="22"/>
                <w:szCs w:val="22"/>
              </w:rPr>
            </w:pPr>
          </w:p>
        </w:tc>
      </w:tr>
      <w:tr w:rsidR="006A6DA0" w:rsidRPr="00F721D3" w14:paraId="23B531F6" w14:textId="0DF34A78" w:rsidTr="006A6DA0">
        <w:trPr>
          <w:gridAfter w:val="1"/>
          <w:wAfter w:w="104" w:type="pct"/>
          <w:trHeight w:val="1514"/>
        </w:trPr>
        <w:tc>
          <w:tcPr>
            <w:tcW w:w="837" w:type="pct"/>
            <w:gridSpan w:val="3"/>
          </w:tcPr>
          <w:p w14:paraId="4C89607D" w14:textId="77777777" w:rsidR="00F721D3" w:rsidRPr="00F721D3" w:rsidRDefault="00F721D3">
            <w:pPr>
              <w:pStyle w:val="Default"/>
              <w:rPr>
                <w:rFonts w:asciiTheme="minorHAnsi" w:hAnsiTheme="minorHAnsi" w:cstheme="minorHAnsi"/>
                <w:sz w:val="22"/>
                <w:szCs w:val="22"/>
              </w:rPr>
            </w:pPr>
            <w:r w:rsidRPr="00F721D3">
              <w:rPr>
                <w:rFonts w:asciiTheme="minorHAnsi" w:hAnsiTheme="minorHAnsi" w:cstheme="minorHAnsi"/>
                <w:b/>
                <w:bCs/>
                <w:sz w:val="22"/>
                <w:szCs w:val="22"/>
              </w:rPr>
              <w:t xml:space="preserve">Quelle est l’action de l’École sur les destins individuels et sur l’évolution de la société ? </w:t>
            </w:r>
          </w:p>
        </w:tc>
        <w:tc>
          <w:tcPr>
            <w:tcW w:w="2351" w:type="pct"/>
          </w:tcPr>
          <w:p w14:paraId="4A3BC07B" w14:textId="77777777" w:rsidR="00F721D3" w:rsidRPr="00F721D3" w:rsidRDefault="00F721D3">
            <w:pPr>
              <w:pStyle w:val="Default"/>
              <w:rPr>
                <w:rFonts w:asciiTheme="minorHAnsi" w:hAnsiTheme="minorHAnsi" w:cstheme="minorHAnsi"/>
                <w:sz w:val="22"/>
                <w:szCs w:val="22"/>
              </w:rPr>
            </w:pPr>
            <w:r w:rsidRPr="00F721D3">
              <w:rPr>
                <w:rFonts w:asciiTheme="minorHAnsi" w:hAnsiTheme="minorHAnsi" w:cstheme="minorHAnsi"/>
                <w:b/>
                <w:bCs/>
                <w:sz w:val="22"/>
                <w:szCs w:val="22"/>
              </w:rPr>
              <w:t xml:space="preserve">- </w:t>
            </w:r>
            <w:r w:rsidRPr="00F721D3">
              <w:rPr>
                <w:rFonts w:asciiTheme="minorHAnsi" w:hAnsiTheme="minorHAnsi" w:cstheme="minorHAnsi"/>
                <w:sz w:val="22"/>
                <w:szCs w:val="22"/>
              </w:rPr>
              <w:t xml:space="preserve">Comprendre que, dans les sociétés démocratiques, l’École transmet des savoirs et vise à favoriser l’égalité des chances ; comprendre l’évolution, depuis les années 1950, des principaux indicateurs mesurant l’accès à l’école et à l’enseignement supérieur (taux de scolarisation, taux d’accès à un diplôme ou à un type de formation) en distinguant les processus de massification et de démocratisation. </w:t>
            </w:r>
          </w:p>
          <w:p w14:paraId="40AF64A7" w14:textId="3ED3E486" w:rsidR="00F721D3" w:rsidRPr="00F721D3" w:rsidRDefault="00F721D3" w:rsidP="00E65285">
            <w:pPr>
              <w:pStyle w:val="Default"/>
              <w:rPr>
                <w:rFonts w:asciiTheme="minorHAnsi" w:hAnsiTheme="minorHAnsi" w:cstheme="minorHAnsi"/>
                <w:sz w:val="22"/>
                <w:szCs w:val="22"/>
              </w:rPr>
            </w:pPr>
            <w:r w:rsidRPr="00F721D3">
              <w:rPr>
                <w:rFonts w:asciiTheme="minorHAnsi" w:hAnsiTheme="minorHAnsi" w:cstheme="minorHAnsi"/>
                <w:b/>
                <w:bCs/>
                <w:sz w:val="22"/>
                <w:szCs w:val="22"/>
              </w:rPr>
              <w:t xml:space="preserve">- </w:t>
            </w:r>
            <w:r w:rsidRPr="00F721D3">
              <w:rPr>
                <w:rFonts w:asciiTheme="minorHAnsi" w:hAnsiTheme="minorHAnsi" w:cstheme="minorHAnsi"/>
                <w:sz w:val="22"/>
                <w:szCs w:val="22"/>
              </w:rPr>
              <w:t xml:space="preserve">Comprendre la multiplicité des facteurs d’inégalités de réussite scolaire (notamment, rôle de l’École, rôle du capital culturel et des investissements familiaux, socialisation selon le genre, effets des stratégies des ménages) dans la construction des trajectoires individuelles de formation. </w:t>
            </w:r>
          </w:p>
        </w:tc>
        <w:tc>
          <w:tcPr>
            <w:tcW w:w="1708" w:type="pct"/>
            <w:gridSpan w:val="2"/>
          </w:tcPr>
          <w:p w14:paraId="497C944B" w14:textId="77777777" w:rsidR="00F721D3" w:rsidRPr="00F721D3" w:rsidRDefault="00F721D3" w:rsidP="00F721D3">
            <w:pPr>
              <w:pStyle w:val="Default"/>
              <w:ind w:right="-108"/>
              <w:rPr>
                <w:rFonts w:asciiTheme="minorHAnsi" w:hAnsiTheme="minorHAnsi" w:cstheme="minorHAnsi"/>
                <w:color w:val="auto"/>
                <w:sz w:val="22"/>
                <w:szCs w:val="22"/>
              </w:rPr>
            </w:pPr>
          </w:p>
        </w:tc>
      </w:tr>
      <w:tr w:rsidR="006A6DA0" w:rsidRPr="00F721D3" w14:paraId="05323872" w14:textId="4B51CBA6" w:rsidTr="006A6DA0">
        <w:trPr>
          <w:gridAfter w:val="1"/>
          <w:wAfter w:w="104" w:type="pct"/>
          <w:trHeight w:val="1698"/>
        </w:trPr>
        <w:tc>
          <w:tcPr>
            <w:tcW w:w="837" w:type="pct"/>
            <w:gridSpan w:val="3"/>
          </w:tcPr>
          <w:p w14:paraId="794A754B" w14:textId="77777777" w:rsidR="00F721D3" w:rsidRPr="00F721D3" w:rsidRDefault="00F721D3">
            <w:pPr>
              <w:pStyle w:val="Default"/>
              <w:rPr>
                <w:rFonts w:asciiTheme="minorHAnsi" w:hAnsiTheme="minorHAnsi" w:cstheme="minorHAnsi"/>
                <w:sz w:val="22"/>
                <w:szCs w:val="22"/>
              </w:rPr>
            </w:pPr>
            <w:r w:rsidRPr="00F721D3">
              <w:rPr>
                <w:rFonts w:asciiTheme="minorHAnsi" w:hAnsiTheme="minorHAnsi" w:cstheme="minorHAnsi"/>
                <w:b/>
                <w:bCs/>
                <w:sz w:val="22"/>
                <w:szCs w:val="22"/>
              </w:rPr>
              <w:t xml:space="preserve">Quels sont les caractéristiques contemporaines et les facteurs de la mobilité sociale ? </w:t>
            </w:r>
          </w:p>
        </w:tc>
        <w:tc>
          <w:tcPr>
            <w:tcW w:w="2351" w:type="pct"/>
          </w:tcPr>
          <w:p w14:paraId="08C02B53" w14:textId="77777777" w:rsidR="00F721D3" w:rsidRPr="00F721D3" w:rsidRDefault="00F721D3">
            <w:pPr>
              <w:pStyle w:val="Default"/>
              <w:rPr>
                <w:rFonts w:asciiTheme="minorHAnsi" w:hAnsiTheme="minorHAnsi" w:cstheme="minorHAnsi"/>
                <w:sz w:val="22"/>
                <w:szCs w:val="22"/>
              </w:rPr>
            </w:pPr>
            <w:r w:rsidRPr="00F721D3">
              <w:rPr>
                <w:rFonts w:asciiTheme="minorHAnsi" w:hAnsiTheme="minorHAnsi" w:cstheme="minorHAnsi"/>
                <w:b/>
                <w:bCs/>
                <w:sz w:val="22"/>
                <w:szCs w:val="22"/>
              </w:rPr>
              <w:t xml:space="preserve">- </w:t>
            </w:r>
            <w:r w:rsidRPr="00F721D3">
              <w:rPr>
                <w:rFonts w:asciiTheme="minorHAnsi" w:hAnsiTheme="minorHAnsi" w:cstheme="minorHAnsi"/>
                <w:sz w:val="22"/>
                <w:szCs w:val="22"/>
              </w:rPr>
              <w:t xml:space="preserve">Savoir distinguer la mobilité sociale intergénérationnelle des autres formes de mobilité (géographique, professionnelle). </w:t>
            </w:r>
          </w:p>
          <w:p w14:paraId="4F4AC028" w14:textId="77777777" w:rsidR="00F721D3" w:rsidRPr="00F721D3" w:rsidRDefault="00F721D3">
            <w:pPr>
              <w:pStyle w:val="Default"/>
              <w:rPr>
                <w:rFonts w:asciiTheme="minorHAnsi" w:hAnsiTheme="minorHAnsi" w:cstheme="minorHAnsi"/>
                <w:sz w:val="22"/>
                <w:szCs w:val="22"/>
              </w:rPr>
            </w:pPr>
            <w:r w:rsidRPr="00F721D3">
              <w:rPr>
                <w:rFonts w:asciiTheme="minorHAnsi" w:hAnsiTheme="minorHAnsi" w:cstheme="minorHAnsi"/>
                <w:b/>
                <w:bCs/>
                <w:sz w:val="22"/>
                <w:szCs w:val="22"/>
              </w:rPr>
              <w:t xml:space="preserve">- </w:t>
            </w:r>
            <w:r w:rsidRPr="00F721D3">
              <w:rPr>
                <w:rFonts w:asciiTheme="minorHAnsi" w:hAnsiTheme="minorHAnsi" w:cstheme="minorHAnsi"/>
                <w:sz w:val="22"/>
                <w:szCs w:val="22"/>
              </w:rPr>
              <w:t xml:space="preserve">Comprendre les principes de construction, les intérêts et les limites des tables de mobilité comme instrument de mesure de la mobilité sociale. </w:t>
            </w:r>
          </w:p>
          <w:p w14:paraId="01BA906F" w14:textId="77777777" w:rsidR="00F721D3" w:rsidRPr="00F721D3" w:rsidRDefault="00F721D3">
            <w:pPr>
              <w:pStyle w:val="Default"/>
              <w:rPr>
                <w:rFonts w:asciiTheme="minorHAnsi" w:hAnsiTheme="minorHAnsi" w:cstheme="minorHAnsi"/>
                <w:sz w:val="22"/>
                <w:szCs w:val="22"/>
              </w:rPr>
            </w:pPr>
            <w:r w:rsidRPr="00F721D3">
              <w:rPr>
                <w:rFonts w:asciiTheme="minorHAnsi" w:hAnsiTheme="minorHAnsi" w:cstheme="minorHAnsi"/>
                <w:b/>
                <w:bCs/>
                <w:sz w:val="22"/>
                <w:szCs w:val="22"/>
              </w:rPr>
              <w:t xml:space="preserve">- </w:t>
            </w:r>
            <w:r w:rsidRPr="00F721D3">
              <w:rPr>
                <w:rFonts w:asciiTheme="minorHAnsi" w:hAnsiTheme="minorHAnsi" w:cstheme="minorHAnsi"/>
                <w:sz w:val="22"/>
                <w:szCs w:val="22"/>
              </w:rPr>
              <w:t xml:space="preserve">Comprendre que la mobilité observée comporte une composante structurelle (mobilité structurelle) ; comprendre que la mobilité peut aussi se mesurer de manière relative indépendamment des différences de structure entre origine et position sociales (fluidité sociale) et qu’une société plus mobile n’est pas nécessairement une société plus fluide. </w:t>
            </w:r>
          </w:p>
          <w:p w14:paraId="6D4393E4" w14:textId="77777777" w:rsidR="00F721D3" w:rsidRPr="00F721D3" w:rsidRDefault="00F721D3">
            <w:pPr>
              <w:pStyle w:val="Default"/>
              <w:rPr>
                <w:rFonts w:asciiTheme="minorHAnsi" w:hAnsiTheme="minorHAnsi" w:cstheme="minorHAnsi"/>
                <w:sz w:val="22"/>
                <w:szCs w:val="22"/>
              </w:rPr>
            </w:pPr>
            <w:r w:rsidRPr="00F721D3">
              <w:rPr>
                <w:rFonts w:asciiTheme="minorHAnsi" w:hAnsiTheme="minorHAnsi" w:cstheme="minorHAnsi"/>
                <w:b/>
                <w:bCs/>
                <w:sz w:val="22"/>
                <w:szCs w:val="22"/>
              </w:rPr>
              <w:lastRenderedPageBreak/>
              <w:t xml:space="preserve">- </w:t>
            </w:r>
            <w:r w:rsidRPr="00F721D3">
              <w:rPr>
                <w:rFonts w:asciiTheme="minorHAnsi" w:hAnsiTheme="minorHAnsi" w:cstheme="minorHAnsi"/>
                <w:sz w:val="22"/>
                <w:szCs w:val="22"/>
              </w:rPr>
              <w:t xml:space="preserve">À partir de la lecture des tables de mobilité, être capable de mettre en évidence des situations de mobilité ascendante, de reproduction sociale et de déclassement, et de retrouver les spécificités de la mobilité sociale des hommes et de celles des femmes. </w:t>
            </w:r>
          </w:p>
          <w:p w14:paraId="52904EF7" w14:textId="60CD7E0C" w:rsidR="00F721D3" w:rsidRPr="00F721D3" w:rsidRDefault="00F721D3" w:rsidP="009F2493">
            <w:pPr>
              <w:pStyle w:val="Default"/>
              <w:rPr>
                <w:rFonts w:asciiTheme="minorHAnsi" w:hAnsiTheme="minorHAnsi" w:cstheme="minorHAnsi"/>
                <w:sz w:val="22"/>
                <w:szCs w:val="22"/>
              </w:rPr>
            </w:pPr>
            <w:r w:rsidRPr="00F721D3">
              <w:rPr>
                <w:rFonts w:asciiTheme="minorHAnsi" w:hAnsiTheme="minorHAnsi" w:cstheme="minorHAnsi"/>
                <w:b/>
                <w:bCs/>
                <w:sz w:val="22"/>
                <w:szCs w:val="22"/>
              </w:rPr>
              <w:t xml:space="preserve">- </w:t>
            </w:r>
            <w:r w:rsidRPr="00F721D3">
              <w:rPr>
                <w:rFonts w:asciiTheme="minorHAnsi" w:hAnsiTheme="minorHAnsi" w:cstheme="minorHAnsi"/>
                <w:sz w:val="22"/>
                <w:szCs w:val="22"/>
              </w:rPr>
              <w:t xml:space="preserve">Comprendre comment l’évolution de la structure socioprofessionnelle, les niveaux de formation et les ressources et configurations familiales contribuent à expliquer la mobilité sociale. </w:t>
            </w:r>
          </w:p>
        </w:tc>
        <w:tc>
          <w:tcPr>
            <w:tcW w:w="1708" w:type="pct"/>
            <w:gridSpan w:val="2"/>
          </w:tcPr>
          <w:p w14:paraId="1BFE874F" w14:textId="77777777" w:rsidR="00F721D3" w:rsidRPr="00F721D3" w:rsidRDefault="00F721D3" w:rsidP="00F721D3">
            <w:pPr>
              <w:pStyle w:val="Default"/>
              <w:ind w:right="-108"/>
              <w:rPr>
                <w:rFonts w:asciiTheme="minorHAnsi" w:hAnsiTheme="minorHAnsi" w:cstheme="minorHAnsi"/>
                <w:color w:val="auto"/>
                <w:sz w:val="22"/>
                <w:szCs w:val="22"/>
              </w:rPr>
            </w:pPr>
          </w:p>
        </w:tc>
      </w:tr>
      <w:tr w:rsidR="006A6DA0" w:rsidRPr="00F721D3" w14:paraId="5BC44122" w14:textId="77777777" w:rsidTr="006A6DA0">
        <w:trPr>
          <w:gridAfter w:val="1"/>
          <w:wAfter w:w="104" w:type="pct"/>
          <w:trHeight w:val="2583"/>
        </w:trPr>
        <w:tc>
          <w:tcPr>
            <w:tcW w:w="837" w:type="pct"/>
            <w:gridSpan w:val="3"/>
          </w:tcPr>
          <w:p w14:paraId="10181CFF" w14:textId="0E169113" w:rsidR="009F2493" w:rsidRPr="00F721D3" w:rsidRDefault="009F2493">
            <w:pPr>
              <w:pStyle w:val="Default"/>
              <w:rPr>
                <w:rFonts w:asciiTheme="minorHAnsi" w:hAnsiTheme="minorHAnsi" w:cstheme="minorHAnsi"/>
                <w:b/>
                <w:bCs/>
                <w:sz w:val="22"/>
                <w:szCs w:val="22"/>
              </w:rPr>
            </w:pPr>
            <w:r>
              <w:rPr>
                <w:rFonts w:asciiTheme="minorHAnsi" w:hAnsiTheme="minorHAnsi" w:cstheme="minorHAnsi"/>
                <w:b/>
                <w:bCs/>
                <w:sz w:val="22"/>
                <w:szCs w:val="22"/>
              </w:rPr>
              <w:lastRenderedPageBreak/>
              <w:t>Quelles mutations du travail et de l’emploi ?</w:t>
            </w:r>
          </w:p>
        </w:tc>
        <w:tc>
          <w:tcPr>
            <w:tcW w:w="2351" w:type="pct"/>
          </w:tcPr>
          <w:p w14:paraId="2F4EC79F" w14:textId="77777777" w:rsidR="009F2493" w:rsidRPr="009F2493" w:rsidRDefault="009F2493" w:rsidP="009F2493">
            <w:pPr>
              <w:pStyle w:val="Default"/>
              <w:rPr>
                <w:rFonts w:asciiTheme="minorHAnsi" w:hAnsiTheme="minorHAnsi" w:cstheme="minorHAnsi"/>
                <w:sz w:val="22"/>
                <w:szCs w:val="22"/>
              </w:rPr>
            </w:pPr>
            <w:r w:rsidRPr="009F2493">
              <w:rPr>
                <w:rFonts w:asciiTheme="minorHAnsi" w:hAnsiTheme="minorHAnsi" w:cstheme="minorHAnsi"/>
                <w:sz w:val="22"/>
                <w:szCs w:val="22"/>
              </w:rPr>
              <w:t>- Savoir distinguer les notions de travail, activité, statut d’emploi (salarié, non-salarié), chômage ; comprendre que les évolutions des formes d’emploi rendent plus incertaines les frontières entre emploi, chômage et inactivité.</w:t>
            </w:r>
          </w:p>
          <w:p w14:paraId="7C4CDCBA" w14:textId="77777777" w:rsidR="009F2493" w:rsidRPr="009F2493" w:rsidRDefault="009F2493" w:rsidP="009F2493">
            <w:pPr>
              <w:pStyle w:val="Default"/>
              <w:rPr>
                <w:rFonts w:asciiTheme="minorHAnsi" w:hAnsiTheme="minorHAnsi" w:cstheme="minorHAnsi"/>
                <w:sz w:val="22"/>
                <w:szCs w:val="22"/>
              </w:rPr>
            </w:pPr>
            <w:r w:rsidRPr="009F2493">
              <w:rPr>
                <w:rFonts w:asciiTheme="minorHAnsi" w:hAnsiTheme="minorHAnsi" w:cstheme="minorHAnsi"/>
                <w:sz w:val="22"/>
                <w:szCs w:val="22"/>
              </w:rPr>
              <w:t>- Connaître les principaux descripteurs de la qualité des emplois (conditions de travail, niveau de salaire, sécurité économique, horizon de carrière, potentiel de formation, variété des tâches).</w:t>
            </w:r>
          </w:p>
          <w:p w14:paraId="2BBCC4BB" w14:textId="77777777" w:rsidR="009F2493" w:rsidRPr="009F2493" w:rsidRDefault="009F2493" w:rsidP="009F2493">
            <w:pPr>
              <w:pStyle w:val="Default"/>
              <w:rPr>
                <w:rFonts w:asciiTheme="minorHAnsi" w:hAnsiTheme="minorHAnsi" w:cstheme="minorHAnsi"/>
                <w:sz w:val="22"/>
                <w:szCs w:val="22"/>
              </w:rPr>
            </w:pPr>
            <w:r w:rsidRPr="009F2493">
              <w:rPr>
                <w:rFonts w:asciiTheme="minorHAnsi" w:hAnsiTheme="minorHAnsi" w:cstheme="minorHAnsi"/>
                <w:sz w:val="22"/>
                <w:szCs w:val="22"/>
              </w:rPr>
              <w:t>- Comprendre les principales caractéristiques des modèles d’organisation taylorien (division du travail horizontale et verticale, relation hiérarchique stricte) et post-taylorien (flexibilité, recomposition des tâches, management participatif) ; comprendre les effets positifs et négatifs de l’évolution des formes de l’organisation du travail sur les conditions de travail.</w:t>
            </w:r>
          </w:p>
          <w:p w14:paraId="03D408D6" w14:textId="77777777" w:rsidR="009F2493" w:rsidRPr="009F2493" w:rsidRDefault="009F2493" w:rsidP="009F2493">
            <w:pPr>
              <w:pStyle w:val="Default"/>
              <w:rPr>
                <w:rFonts w:asciiTheme="minorHAnsi" w:hAnsiTheme="minorHAnsi" w:cstheme="minorHAnsi"/>
                <w:sz w:val="22"/>
                <w:szCs w:val="22"/>
              </w:rPr>
            </w:pPr>
            <w:r w:rsidRPr="009F2493">
              <w:rPr>
                <w:rFonts w:asciiTheme="minorHAnsi" w:hAnsiTheme="minorHAnsi" w:cstheme="minorHAnsi"/>
                <w:sz w:val="22"/>
                <w:szCs w:val="22"/>
              </w:rPr>
              <w:t>- Comprendre comment le numérique brouille les frontières du travail (télétravail, travail / hors travail), transforme les relations d’emploi et accroît les risques de polarisation des emplois.</w:t>
            </w:r>
          </w:p>
          <w:p w14:paraId="081D263A" w14:textId="7863B77B" w:rsidR="009F2493" w:rsidRPr="009F2493" w:rsidRDefault="009F2493" w:rsidP="009F2493">
            <w:pPr>
              <w:pStyle w:val="Default"/>
              <w:rPr>
                <w:rFonts w:asciiTheme="minorHAnsi" w:hAnsiTheme="minorHAnsi" w:cstheme="minorHAnsi"/>
                <w:sz w:val="22"/>
                <w:szCs w:val="22"/>
              </w:rPr>
            </w:pPr>
            <w:r w:rsidRPr="009F2493">
              <w:rPr>
                <w:rFonts w:asciiTheme="minorHAnsi" w:hAnsiTheme="minorHAnsi" w:cstheme="minorHAnsi"/>
                <w:sz w:val="22"/>
                <w:szCs w:val="22"/>
              </w:rPr>
              <w:t>- Comprendre que le travail est source d’intégration sociale et que certaines évolutions de l’emploi (précarisation, taux persistant de chômage élevé, polarisation de la qualité des emplois) peuvent affaiblir ce pouvoir intégrateur.</w:t>
            </w:r>
          </w:p>
        </w:tc>
        <w:tc>
          <w:tcPr>
            <w:tcW w:w="1708" w:type="pct"/>
            <w:gridSpan w:val="2"/>
          </w:tcPr>
          <w:p w14:paraId="61502C66" w14:textId="77777777" w:rsidR="009F2493" w:rsidRPr="00F721D3" w:rsidRDefault="009F2493" w:rsidP="00F721D3">
            <w:pPr>
              <w:pStyle w:val="Default"/>
              <w:ind w:right="-108"/>
              <w:rPr>
                <w:rFonts w:asciiTheme="minorHAnsi" w:hAnsiTheme="minorHAnsi" w:cstheme="minorHAnsi"/>
                <w:color w:val="auto"/>
                <w:sz w:val="22"/>
                <w:szCs w:val="22"/>
              </w:rPr>
            </w:pPr>
          </w:p>
        </w:tc>
      </w:tr>
      <w:tr w:rsidR="00E65285" w:rsidRPr="009F2493" w14:paraId="73EC8F6C" w14:textId="5FB648BA" w:rsidTr="006A6DA0">
        <w:trPr>
          <w:gridAfter w:val="1"/>
          <w:wAfter w:w="104" w:type="pct"/>
          <w:trHeight w:val="1931"/>
        </w:trPr>
        <w:tc>
          <w:tcPr>
            <w:tcW w:w="837" w:type="pct"/>
            <w:gridSpan w:val="3"/>
          </w:tcPr>
          <w:p w14:paraId="7CA73F57" w14:textId="0FE68A00" w:rsidR="009F2493" w:rsidRPr="009F2493" w:rsidRDefault="009F2493" w:rsidP="00D45550">
            <w:pPr>
              <w:pStyle w:val="Default"/>
              <w:ind w:right="-294"/>
              <w:rPr>
                <w:rFonts w:asciiTheme="minorHAnsi" w:hAnsiTheme="minorHAnsi" w:cstheme="minorHAnsi"/>
                <w:sz w:val="22"/>
                <w:szCs w:val="22"/>
              </w:rPr>
            </w:pPr>
            <w:r w:rsidRPr="009F2493">
              <w:rPr>
                <w:rFonts w:asciiTheme="minorHAnsi" w:hAnsiTheme="minorHAnsi" w:cstheme="minorHAnsi"/>
                <w:b/>
                <w:bCs/>
                <w:sz w:val="22"/>
                <w:szCs w:val="22"/>
              </w:rPr>
              <w:t xml:space="preserve">Comment expliquer l’engagement politique dans les sociétés démocratiques ? </w:t>
            </w:r>
          </w:p>
        </w:tc>
        <w:tc>
          <w:tcPr>
            <w:tcW w:w="2351" w:type="pct"/>
          </w:tcPr>
          <w:p w14:paraId="2B51ACF2" w14:textId="77777777" w:rsidR="009F2493" w:rsidRPr="009F2493" w:rsidRDefault="009F2493" w:rsidP="002D5BFD">
            <w:pPr>
              <w:pStyle w:val="Default"/>
              <w:ind w:firstLine="24"/>
              <w:rPr>
                <w:rFonts w:asciiTheme="minorHAnsi" w:hAnsiTheme="minorHAnsi" w:cstheme="minorHAnsi"/>
                <w:sz w:val="22"/>
                <w:szCs w:val="22"/>
              </w:rPr>
            </w:pPr>
            <w:r w:rsidRPr="009F2493">
              <w:rPr>
                <w:rFonts w:asciiTheme="minorHAnsi" w:hAnsiTheme="minorHAnsi" w:cstheme="minorHAnsi"/>
                <w:b/>
                <w:bCs/>
                <w:sz w:val="22"/>
                <w:szCs w:val="22"/>
              </w:rPr>
              <w:t xml:space="preserve">- </w:t>
            </w:r>
            <w:r w:rsidRPr="009F2493">
              <w:rPr>
                <w:rFonts w:asciiTheme="minorHAnsi" w:hAnsiTheme="minorHAnsi" w:cstheme="minorHAnsi"/>
                <w:sz w:val="22"/>
                <w:szCs w:val="22"/>
              </w:rPr>
              <w:t xml:space="preserve">Comprendre que l’engagement politique prend des formes variées (vote, militantisme, engagement associatif, consommation engagée). </w:t>
            </w:r>
          </w:p>
          <w:p w14:paraId="77647F00" w14:textId="77777777" w:rsidR="009F2493" w:rsidRPr="009F2493" w:rsidRDefault="009F2493">
            <w:pPr>
              <w:pStyle w:val="Default"/>
              <w:rPr>
                <w:rFonts w:asciiTheme="minorHAnsi" w:hAnsiTheme="minorHAnsi" w:cstheme="minorHAnsi"/>
                <w:sz w:val="22"/>
                <w:szCs w:val="22"/>
              </w:rPr>
            </w:pPr>
            <w:r w:rsidRPr="009F2493">
              <w:rPr>
                <w:rFonts w:asciiTheme="minorHAnsi" w:hAnsiTheme="minorHAnsi" w:cstheme="minorHAnsi"/>
                <w:b/>
                <w:bCs/>
                <w:sz w:val="22"/>
                <w:szCs w:val="22"/>
              </w:rPr>
              <w:t xml:space="preserve">- </w:t>
            </w:r>
            <w:r w:rsidRPr="009F2493">
              <w:rPr>
                <w:rFonts w:asciiTheme="minorHAnsi" w:hAnsiTheme="minorHAnsi" w:cstheme="minorHAnsi"/>
                <w:sz w:val="22"/>
                <w:szCs w:val="22"/>
              </w:rPr>
              <w:t xml:space="preserve">Comprendre pourquoi, malgré le paradoxe de l’action collective, les individus s’engagent (incitations sélectives, rétributions symboliques, structure des opportunités politiques). </w:t>
            </w:r>
          </w:p>
          <w:p w14:paraId="656920F4" w14:textId="77777777" w:rsidR="009F2493" w:rsidRPr="009F2493" w:rsidRDefault="009F2493">
            <w:pPr>
              <w:pStyle w:val="Default"/>
              <w:rPr>
                <w:rFonts w:asciiTheme="minorHAnsi" w:hAnsiTheme="minorHAnsi" w:cstheme="minorHAnsi"/>
                <w:sz w:val="22"/>
                <w:szCs w:val="22"/>
              </w:rPr>
            </w:pPr>
            <w:r w:rsidRPr="009F2493">
              <w:rPr>
                <w:rFonts w:asciiTheme="minorHAnsi" w:hAnsiTheme="minorHAnsi" w:cstheme="minorHAnsi"/>
                <w:b/>
                <w:bCs/>
                <w:sz w:val="22"/>
                <w:szCs w:val="22"/>
              </w:rPr>
              <w:t xml:space="preserve">- </w:t>
            </w:r>
            <w:r w:rsidRPr="009F2493">
              <w:rPr>
                <w:rFonts w:asciiTheme="minorHAnsi" w:hAnsiTheme="minorHAnsi" w:cstheme="minorHAnsi"/>
                <w:sz w:val="22"/>
                <w:szCs w:val="22"/>
              </w:rPr>
              <w:t xml:space="preserve">Comprendre que l’engagement politique dépend notamment de variables sociodémographiques (catégorie socioprofessionnelle, diplôme, âge et génération, sexe). </w:t>
            </w:r>
          </w:p>
          <w:p w14:paraId="6FED0BDA" w14:textId="1EB8EC39" w:rsidR="009F2493" w:rsidRPr="009F2493" w:rsidRDefault="009F2493" w:rsidP="009F2493">
            <w:pPr>
              <w:pStyle w:val="Default"/>
              <w:rPr>
                <w:rFonts w:asciiTheme="minorHAnsi" w:hAnsiTheme="minorHAnsi" w:cstheme="minorHAnsi"/>
                <w:sz w:val="22"/>
                <w:szCs w:val="22"/>
              </w:rPr>
            </w:pPr>
            <w:r w:rsidRPr="009F2493">
              <w:rPr>
                <w:rFonts w:asciiTheme="minorHAnsi" w:hAnsiTheme="minorHAnsi" w:cstheme="minorHAnsi"/>
                <w:b/>
                <w:bCs/>
                <w:sz w:val="22"/>
                <w:szCs w:val="22"/>
              </w:rPr>
              <w:t xml:space="preserve">- </w:t>
            </w:r>
            <w:r w:rsidRPr="009F2493">
              <w:rPr>
                <w:rFonts w:asciiTheme="minorHAnsi" w:hAnsiTheme="minorHAnsi" w:cstheme="minorHAnsi"/>
                <w:sz w:val="22"/>
                <w:szCs w:val="22"/>
              </w:rPr>
              <w:t xml:space="preserve">Comprendre la diversité et les transformations des objets de l’action collective (conflits du travail, nouveaux enjeux de mobilisation, luttes minoritaires), des acteurs (partis politiques, syndicats, associations, groupements) et de leurs répertoires. </w:t>
            </w:r>
          </w:p>
        </w:tc>
        <w:tc>
          <w:tcPr>
            <w:tcW w:w="1708" w:type="pct"/>
            <w:gridSpan w:val="2"/>
          </w:tcPr>
          <w:p w14:paraId="6F10E3BB" w14:textId="77777777" w:rsidR="009F2493" w:rsidRPr="009F2493" w:rsidRDefault="009F2493" w:rsidP="00D45550">
            <w:pPr>
              <w:pStyle w:val="Default"/>
              <w:ind w:right="-111"/>
              <w:rPr>
                <w:rFonts w:asciiTheme="minorHAnsi" w:hAnsiTheme="minorHAnsi" w:cstheme="minorHAnsi"/>
                <w:color w:val="auto"/>
                <w:sz w:val="22"/>
                <w:szCs w:val="22"/>
              </w:rPr>
            </w:pPr>
          </w:p>
        </w:tc>
      </w:tr>
    </w:tbl>
    <w:p w14:paraId="5A4B19F1" w14:textId="0E2F165C" w:rsidR="009F2493" w:rsidRDefault="009F2493" w:rsidP="00CD0FC9">
      <w:pPr>
        <w:pStyle w:val="Sansinterligne"/>
      </w:pPr>
    </w:p>
    <w:p w14:paraId="3F7978CD" w14:textId="321C1ED9" w:rsidR="009F2493" w:rsidRDefault="009F2493" w:rsidP="00CD0FC9">
      <w:pPr>
        <w:pStyle w:val="Sansinterlign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1"/>
        <w:gridCol w:w="7180"/>
        <w:gridCol w:w="5367"/>
      </w:tblGrid>
      <w:tr w:rsidR="00E65285" w:rsidRPr="002D5BFD" w14:paraId="3F62F58F" w14:textId="77777777" w:rsidTr="006A6DA0">
        <w:trPr>
          <w:trHeight w:val="785"/>
        </w:trPr>
        <w:tc>
          <w:tcPr>
            <w:tcW w:w="923" w:type="pct"/>
            <w:vAlign w:val="center"/>
          </w:tcPr>
          <w:p w14:paraId="57D3F7FE" w14:textId="77777777" w:rsidR="00E65285" w:rsidRPr="002D5BFD" w:rsidRDefault="00E65285" w:rsidP="00A76BE8">
            <w:pPr>
              <w:pStyle w:val="Sansinterligne"/>
              <w:jc w:val="center"/>
              <w:rPr>
                <w:b/>
                <w:bCs/>
                <w:color w:val="0070C0"/>
              </w:rPr>
            </w:pPr>
            <w:r w:rsidRPr="002D5BFD">
              <w:rPr>
                <w:b/>
                <w:bCs/>
                <w:color w:val="0070C0"/>
              </w:rPr>
              <w:lastRenderedPageBreak/>
              <w:t>QUESTIONNEMENT</w:t>
            </w:r>
          </w:p>
        </w:tc>
        <w:tc>
          <w:tcPr>
            <w:tcW w:w="2333" w:type="pct"/>
            <w:vAlign w:val="center"/>
          </w:tcPr>
          <w:p w14:paraId="79DDBF42" w14:textId="77777777" w:rsidR="00E65285" w:rsidRPr="002D5BFD" w:rsidRDefault="00E65285" w:rsidP="00A76BE8">
            <w:pPr>
              <w:pStyle w:val="Sansinterligne"/>
              <w:jc w:val="center"/>
              <w:rPr>
                <w:b/>
                <w:bCs/>
                <w:color w:val="0070C0"/>
              </w:rPr>
            </w:pPr>
            <w:r w:rsidRPr="002D5BFD">
              <w:rPr>
                <w:b/>
                <w:bCs/>
                <w:color w:val="0070C0"/>
              </w:rPr>
              <w:t>OBJECTIFS D’APPRENTISSAGE</w:t>
            </w:r>
          </w:p>
        </w:tc>
        <w:tc>
          <w:tcPr>
            <w:tcW w:w="1744" w:type="pct"/>
            <w:vAlign w:val="center"/>
          </w:tcPr>
          <w:p w14:paraId="19D15D5F" w14:textId="77777777" w:rsidR="00E65285" w:rsidRDefault="00E65285" w:rsidP="00A76BE8">
            <w:pPr>
              <w:pStyle w:val="Sansinterligne"/>
              <w:jc w:val="center"/>
              <w:rPr>
                <w:b/>
                <w:bCs/>
                <w:color w:val="0070C0"/>
              </w:rPr>
            </w:pPr>
            <w:r w:rsidRPr="002D5BFD">
              <w:rPr>
                <w:b/>
                <w:bCs/>
                <w:color w:val="0070C0"/>
              </w:rPr>
              <w:t>QUESTIONS POSSIBLES</w:t>
            </w:r>
            <w:r>
              <w:rPr>
                <w:b/>
                <w:bCs/>
                <w:color w:val="0070C0"/>
              </w:rPr>
              <w:t xml:space="preserve"> </w:t>
            </w:r>
          </w:p>
          <w:p w14:paraId="4AFF4E12" w14:textId="2A07B1AF" w:rsidR="006A6DA0" w:rsidRPr="006A6DA0" w:rsidRDefault="006A6DA0" w:rsidP="00A76BE8">
            <w:pPr>
              <w:pStyle w:val="Sansinterligne"/>
              <w:jc w:val="center"/>
              <w:rPr>
                <w:i/>
                <w:iCs/>
                <w:color w:val="0070C0"/>
              </w:rPr>
            </w:pPr>
            <w:r w:rsidRPr="006A6DA0">
              <w:rPr>
                <w:i/>
                <w:iCs/>
                <w:color w:val="0070C0"/>
              </w:rPr>
              <w:t>en lien avec les questionnements et objectifs d’apprentissage</w:t>
            </w:r>
            <w:r w:rsidR="004740F2">
              <w:rPr>
                <w:i/>
                <w:iCs/>
                <w:color w:val="0070C0"/>
              </w:rPr>
              <w:t xml:space="preserve"> et le projet d’orientation</w:t>
            </w:r>
          </w:p>
        </w:tc>
      </w:tr>
      <w:tr w:rsidR="00E65285" w:rsidRPr="002D5BFD" w14:paraId="2D62CC0C" w14:textId="77777777" w:rsidTr="006A6DA0">
        <w:trPr>
          <w:trHeight w:val="454"/>
        </w:trPr>
        <w:tc>
          <w:tcPr>
            <w:tcW w:w="5000" w:type="pct"/>
            <w:gridSpan w:val="3"/>
            <w:vAlign w:val="center"/>
          </w:tcPr>
          <w:p w14:paraId="527353CD" w14:textId="19430F10" w:rsidR="00E65285" w:rsidRPr="002D5BFD" w:rsidRDefault="00E65285" w:rsidP="00A76BE8">
            <w:pPr>
              <w:pStyle w:val="Sansinterligne"/>
              <w:rPr>
                <w:b/>
                <w:bCs/>
                <w:color w:val="0070C0"/>
              </w:rPr>
            </w:pPr>
            <w:r>
              <w:rPr>
                <w:b/>
                <w:bCs/>
                <w:color w:val="0070C0"/>
              </w:rPr>
              <w:t>PARTIE REGARDS CROIS</w:t>
            </w:r>
            <w:r>
              <w:rPr>
                <w:rFonts w:cstheme="minorHAnsi"/>
                <w:b/>
                <w:bCs/>
                <w:color w:val="0070C0"/>
              </w:rPr>
              <w:t>É</w:t>
            </w:r>
            <w:r>
              <w:rPr>
                <w:b/>
                <w:bCs/>
                <w:color w:val="0070C0"/>
              </w:rPr>
              <w:t xml:space="preserve">S   </w:t>
            </w:r>
          </w:p>
        </w:tc>
      </w:tr>
      <w:tr w:rsidR="00E65285" w:rsidRPr="00D45550" w14:paraId="214F7F4F" w14:textId="6CBEA3CA" w:rsidTr="006A6DA0">
        <w:trPr>
          <w:trHeight w:val="2563"/>
        </w:trPr>
        <w:tc>
          <w:tcPr>
            <w:tcW w:w="923" w:type="pct"/>
          </w:tcPr>
          <w:p w14:paraId="4281C10B" w14:textId="77777777" w:rsidR="00D45550" w:rsidRPr="00D45550" w:rsidRDefault="00D45550">
            <w:pPr>
              <w:pStyle w:val="Default"/>
              <w:rPr>
                <w:rFonts w:asciiTheme="minorHAnsi" w:hAnsiTheme="minorHAnsi" w:cstheme="minorHAnsi"/>
                <w:sz w:val="22"/>
                <w:szCs w:val="22"/>
              </w:rPr>
            </w:pPr>
            <w:r w:rsidRPr="00D45550">
              <w:rPr>
                <w:rFonts w:asciiTheme="minorHAnsi" w:hAnsiTheme="minorHAnsi" w:cstheme="minorHAnsi"/>
                <w:b/>
                <w:bCs/>
                <w:sz w:val="22"/>
                <w:szCs w:val="22"/>
              </w:rPr>
              <w:t xml:space="preserve">Quelles inégalités sont compatibles avec les différentes conceptions de la justice sociale ? </w:t>
            </w:r>
          </w:p>
        </w:tc>
        <w:tc>
          <w:tcPr>
            <w:tcW w:w="2333" w:type="pct"/>
          </w:tcPr>
          <w:p w14:paraId="19609E25" w14:textId="77777777" w:rsidR="00D45550" w:rsidRPr="00D45550" w:rsidRDefault="00D45550">
            <w:pPr>
              <w:pStyle w:val="Default"/>
              <w:rPr>
                <w:rFonts w:asciiTheme="minorHAnsi" w:hAnsiTheme="minorHAnsi" w:cstheme="minorHAnsi"/>
                <w:sz w:val="22"/>
                <w:szCs w:val="22"/>
              </w:rPr>
            </w:pPr>
            <w:r w:rsidRPr="00D45550">
              <w:rPr>
                <w:rFonts w:asciiTheme="minorHAnsi" w:hAnsiTheme="minorHAnsi" w:cstheme="minorHAnsi"/>
                <w:b/>
                <w:bCs/>
                <w:sz w:val="22"/>
                <w:szCs w:val="22"/>
              </w:rPr>
              <w:t xml:space="preserve">- </w:t>
            </w:r>
            <w:r w:rsidRPr="00D45550">
              <w:rPr>
                <w:rFonts w:asciiTheme="minorHAnsi" w:hAnsiTheme="minorHAnsi" w:cstheme="minorHAnsi"/>
                <w:sz w:val="22"/>
                <w:szCs w:val="22"/>
              </w:rPr>
              <w:t xml:space="preserve">Connaître les grandes tendances d’évolution des inégalités économiques depuis le début du XXe siècle et comprendre que les inégalités économiques et sociales présentent un caractère multiforme et cumulatif. </w:t>
            </w:r>
          </w:p>
          <w:p w14:paraId="2A9FA033" w14:textId="77777777" w:rsidR="00D45550" w:rsidRPr="00D45550" w:rsidRDefault="00D45550">
            <w:pPr>
              <w:pStyle w:val="Default"/>
              <w:rPr>
                <w:rFonts w:asciiTheme="minorHAnsi" w:hAnsiTheme="minorHAnsi" w:cstheme="minorHAnsi"/>
                <w:sz w:val="22"/>
                <w:szCs w:val="22"/>
              </w:rPr>
            </w:pPr>
            <w:r w:rsidRPr="00D45550">
              <w:rPr>
                <w:rFonts w:asciiTheme="minorHAnsi" w:hAnsiTheme="minorHAnsi" w:cstheme="minorHAnsi"/>
                <w:b/>
                <w:bCs/>
                <w:sz w:val="22"/>
                <w:szCs w:val="22"/>
              </w:rPr>
              <w:t xml:space="preserve">- </w:t>
            </w:r>
            <w:r w:rsidRPr="00D45550">
              <w:rPr>
                <w:rFonts w:asciiTheme="minorHAnsi" w:hAnsiTheme="minorHAnsi" w:cstheme="minorHAnsi"/>
                <w:sz w:val="22"/>
                <w:szCs w:val="22"/>
              </w:rPr>
              <w:t xml:space="preserve">Savoir interpréter les principaux outils de mesure des inégalités, statique (rapport inter-quantiles, courbe de Lorenz et coefficient de Gini, top 1%) et dynamique (corrélation de revenu parents-enfants). </w:t>
            </w:r>
          </w:p>
          <w:p w14:paraId="48D18531" w14:textId="77777777" w:rsidR="00D45550" w:rsidRPr="00D45550" w:rsidRDefault="00D45550">
            <w:pPr>
              <w:pStyle w:val="Default"/>
              <w:rPr>
                <w:rFonts w:asciiTheme="minorHAnsi" w:hAnsiTheme="minorHAnsi" w:cstheme="minorHAnsi"/>
                <w:sz w:val="22"/>
                <w:szCs w:val="22"/>
              </w:rPr>
            </w:pPr>
            <w:r w:rsidRPr="00D45550">
              <w:rPr>
                <w:rFonts w:asciiTheme="minorHAnsi" w:hAnsiTheme="minorHAnsi" w:cstheme="minorHAnsi"/>
                <w:b/>
                <w:bCs/>
                <w:sz w:val="22"/>
                <w:szCs w:val="22"/>
              </w:rPr>
              <w:t xml:space="preserve">- </w:t>
            </w:r>
            <w:r w:rsidRPr="00D45550">
              <w:rPr>
                <w:rFonts w:asciiTheme="minorHAnsi" w:hAnsiTheme="minorHAnsi" w:cstheme="minorHAnsi"/>
                <w:sz w:val="22"/>
                <w:szCs w:val="22"/>
              </w:rPr>
              <w:t xml:space="preserve">Comprendre que les différentes formes d’égalité (égalité des droits, des chances ou des situations) permettent de définir ce qui est considéré comme juste selon différentes conceptions de la justice sociale (notamment l’utilitarisme, le libertarisme, l’égalitarisme libéral, l’égalitarisme strict). </w:t>
            </w:r>
          </w:p>
          <w:p w14:paraId="060C4F6B" w14:textId="650322F0" w:rsidR="00D45550" w:rsidRPr="00D45550" w:rsidRDefault="00D45550" w:rsidP="006A6DA0">
            <w:pPr>
              <w:pStyle w:val="Default"/>
              <w:rPr>
                <w:rFonts w:asciiTheme="minorHAnsi" w:hAnsiTheme="minorHAnsi" w:cstheme="minorHAnsi"/>
                <w:sz w:val="22"/>
                <w:szCs w:val="22"/>
              </w:rPr>
            </w:pPr>
            <w:r w:rsidRPr="00D45550">
              <w:rPr>
                <w:rFonts w:asciiTheme="minorHAnsi" w:hAnsiTheme="minorHAnsi" w:cstheme="minorHAnsi"/>
                <w:b/>
                <w:bCs/>
                <w:sz w:val="22"/>
                <w:szCs w:val="22"/>
              </w:rPr>
              <w:t xml:space="preserve">- </w:t>
            </w:r>
            <w:r w:rsidRPr="00D45550">
              <w:rPr>
                <w:rFonts w:asciiTheme="minorHAnsi" w:hAnsiTheme="minorHAnsi" w:cstheme="minorHAnsi"/>
                <w:sz w:val="22"/>
                <w:szCs w:val="22"/>
              </w:rPr>
              <w:t xml:space="preserve">Comprendre que l’action des pouvoirs publics en matière de justice sociale (fiscalité, protection sociale, services collectifs, mesures de lutte contre les discriminations) s’exerce sous contrainte de financement et fait l’objet de débats en termes d’efficacité (réduction des inégalités), de légitimité (notamment consentement à l’impôt) et de risque d’effets pervers (désincitations). </w:t>
            </w:r>
          </w:p>
        </w:tc>
        <w:tc>
          <w:tcPr>
            <w:tcW w:w="1744" w:type="pct"/>
          </w:tcPr>
          <w:p w14:paraId="689E5FBC" w14:textId="77777777" w:rsidR="00D45550" w:rsidRPr="00D45550" w:rsidRDefault="00D45550" w:rsidP="00E65285">
            <w:pPr>
              <w:pStyle w:val="Default"/>
              <w:ind w:left="-323"/>
              <w:rPr>
                <w:rFonts w:asciiTheme="minorHAnsi" w:hAnsiTheme="minorHAnsi" w:cstheme="minorHAnsi"/>
                <w:color w:val="auto"/>
                <w:sz w:val="22"/>
                <w:szCs w:val="22"/>
              </w:rPr>
            </w:pPr>
          </w:p>
        </w:tc>
      </w:tr>
      <w:tr w:rsidR="00E65285" w:rsidRPr="00D45550" w14:paraId="611AE8BF" w14:textId="1ECBAA1B" w:rsidTr="006A6DA0">
        <w:trPr>
          <w:trHeight w:val="565"/>
        </w:trPr>
        <w:tc>
          <w:tcPr>
            <w:tcW w:w="923" w:type="pct"/>
          </w:tcPr>
          <w:p w14:paraId="01D3BF76" w14:textId="77777777" w:rsidR="00D45550" w:rsidRPr="00D45550" w:rsidRDefault="00D45550">
            <w:pPr>
              <w:pStyle w:val="Default"/>
              <w:rPr>
                <w:rFonts w:asciiTheme="minorHAnsi" w:hAnsiTheme="minorHAnsi" w:cstheme="minorHAnsi"/>
                <w:sz w:val="22"/>
                <w:szCs w:val="22"/>
              </w:rPr>
            </w:pPr>
            <w:r w:rsidRPr="00D45550">
              <w:rPr>
                <w:rFonts w:asciiTheme="minorHAnsi" w:hAnsiTheme="minorHAnsi" w:cstheme="minorHAnsi"/>
                <w:b/>
                <w:bCs/>
                <w:sz w:val="22"/>
                <w:szCs w:val="22"/>
              </w:rPr>
              <w:t xml:space="preserve">Quelle action publique pour l’environnement ? </w:t>
            </w:r>
          </w:p>
        </w:tc>
        <w:tc>
          <w:tcPr>
            <w:tcW w:w="2333" w:type="pct"/>
          </w:tcPr>
          <w:p w14:paraId="3C91AB88" w14:textId="77777777" w:rsidR="00D45550" w:rsidRPr="00D45550" w:rsidRDefault="00D45550">
            <w:pPr>
              <w:pStyle w:val="Default"/>
              <w:rPr>
                <w:rFonts w:asciiTheme="minorHAnsi" w:hAnsiTheme="minorHAnsi" w:cstheme="minorHAnsi"/>
                <w:sz w:val="22"/>
                <w:szCs w:val="22"/>
              </w:rPr>
            </w:pPr>
            <w:r w:rsidRPr="00D45550">
              <w:rPr>
                <w:rFonts w:asciiTheme="minorHAnsi" w:hAnsiTheme="minorHAnsi" w:cstheme="minorHAnsi"/>
                <w:b/>
                <w:bCs/>
                <w:sz w:val="22"/>
                <w:szCs w:val="22"/>
              </w:rPr>
              <w:t xml:space="preserve">- </w:t>
            </w:r>
            <w:r w:rsidRPr="00D45550">
              <w:rPr>
                <w:rFonts w:asciiTheme="minorHAnsi" w:hAnsiTheme="minorHAnsi" w:cstheme="minorHAnsi"/>
                <w:sz w:val="22"/>
                <w:szCs w:val="22"/>
              </w:rPr>
              <w:t xml:space="preserve">Savoir identifier les différents acteurs (pouvoirs publics, ONG, entreprises, experts, partis, mouvements citoyens) qui participent à la construction des questions environnementales comme problème public et à leur mise à l’agenda politique ; comprendre que ces acteurs entretiennent des relations de coopération et de conflit. </w:t>
            </w:r>
          </w:p>
          <w:p w14:paraId="3B6E4DF5" w14:textId="77777777" w:rsidR="00D45550" w:rsidRPr="00D45550" w:rsidRDefault="00D45550">
            <w:pPr>
              <w:pStyle w:val="Default"/>
              <w:rPr>
                <w:rFonts w:asciiTheme="minorHAnsi" w:hAnsiTheme="minorHAnsi" w:cstheme="minorHAnsi"/>
                <w:sz w:val="22"/>
                <w:szCs w:val="22"/>
              </w:rPr>
            </w:pPr>
            <w:r w:rsidRPr="00D45550">
              <w:rPr>
                <w:rFonts w:asciiTheme="minorHAnsi" w:hAnsiTheme="minorHAnsi" w:cstheme="minorHAnsi"/>
                <w:b/>
                <w:bCs/>
                <w:sz w:val="22"/>
                <w:szCs w:val="22"/>
              </w:rPr>
              <w:t xml:space="preserve">- </w:t>
            </w:r>
            <w:r w:rsidRPr="00D45550">
              <w:rPr>
                <w:rFonts w:asciiTheme="minorHAnsi" w:hAnsiTheme="minorHAnsi" w:cstheme="minorHAnsi"/>
                <w:sz w:val="22"/>
                <w:szCs w:val="22"/>
              </w:rPr>
              <w:t xml:space="preserve">Comprendre que l’action publique pour l’environnement articule différentes échelles (locale, nationale, européenne, mondiale). </w:t>
            </w:r>
          </w:p>
          <w:p w14:paraId="11B189C5" w14:textId="77777777" w:rsidR="00D45550" w:rsidRPr="00D45550" w:rsidRDefault="00D45550">
            <w:pPr>
              <w:pStyle w:val="Default"/>
              <w:rPr>
                <w:rFonts w:asciiTheme="minorHAnsi" w:hAnsiTheme="minorHAnsi" w:cstheme="minorHAnsi"/>
                <w:sz w:val="22"/>
                <w:szCs w:val="22"/>
              </w:rPr>
            </w:pPr>
            <w:r w:rsidRPr="00D45550">
              <w:rPr>
                <w:rFonts w:asciiTheme="minorHAnsi" w:hAnsiTheme="minorHAnsi" w:cstheme="minorHAnsi"/>
                <w:b/>
                <w:bCs/>
                <w:sz w:val="22"/>
                <w:szCs w:val="22"/>
              </w:rPr>
              <w:t xml:space="preserve">- </w:t>
            </w:r>
            <w:r w:rsidRPr="00D45550">
              <w:rPr>
                <w:rFonts w:asciiTheme="minorHAnsi" w:hAnsiTheme="minorHAnsi" w:cstheme="minorHAnsi"/>
                <w:sz w:val="22"/>
                <w:szCs w:val="22"/>
              </w:rPr>
              <w:t xml:space="preserve">En prenant l’exemple du changement climatique : </w:t>
            </w:r>
          </w:p>
          <w:p w14:paraId="05C69C85" w14:textId="3C0A7CC0" w:rsidR="006A6DA0" w:rsidRDefault="00D45550">
            <w:pPr>
              <w:pStyle w:val="Default"/>
              <w:rPr>
                <w:rFonts w:asciiTheme="minorHAnsi" w:hAnsiTheme="minorHAnsi" w:cstheme="minorHAnsi"/>
                <w:sz w:val="22"/>
                <w:szCs w:val="22"/>
              </w:rPr>
            </w:pPr>
            <w:r w:rsidRPr="00D45550">
              <w:rPr>
                <w:rFonts w:asciiTheme="minorHAnsi" w:hAnsiTheme="minorHAnsi" w:cstheme="minorHAnsi"/>
                <w:b/>
                <w:bCs/>
                <w:sz w:val="22"/>
                <w:szCs w:val="22"/>
              </w:rPr>
              <w:t xml:space="preserve">- </w:t>
            </w:r>
            <w:r w:rsidRPr="00D45550">
              <w:rPr>
                <w:rFonts w:asciiTheme="minorHAnsi" w:hAnsiTheme="minorHAnsi" w:cstheme="minorHAnsi"/>
                <w:sz w:val="22"/>
                <w:szCs w:val="22"/>
              </w:rPr>
              <w:t xml:space="preserve">connaître les principaux instruments dont disposent les pouvoirs publics pour faire face aux externalités négatives sur l’environnement : réglementation, marchés de quotas d'émission, taxation, subvention à l’innovation verte ; comprendre que ces différents instruments présentent des avantages et des limites, et que leur mise en </w:t>
            </w:r>
            <w:proofErr w:type="spellStart"/>
            <w:r w:rsidRPr="00D45550">
              <w:rPr>
                <w:rFonts w:asciiTheme="minorHAnsi" w:hAnsiTheme="minorHAnsi" w:cstheme="minorHAnsi"/>
                <w:sz w:val="22"/>
                <w:szCs w:val="22"/>
              </w:rPr>
              <w:t>oeuvre</w:t>
            </w:r>
            <w:proofErr w:type="spellEnd"/>
            <w:r w:rsidRPr="00D45550">
              <w:rPr>
                <w:rFonts w:asciiTheme="minorHAnsi" w:hAnsiTheme="minorHAnsi" w:cstheme="minorHAnsi"/>
                <w:sz w:val="22"/>
                <w:szCs w:val="22"/>
              </w:rPr>
              <w:t xml:space="preserve"> peut se heurter à des dysfonctionnements de l’action publique ; </w:t>
            </w:r>
          </w:p>
          <w:p w14:paraId="1C115C9E" w14:textId="6E18A94A" w:rsidR="00D45550" w:rsidRPr="00D45550" w:rsidRDefault="00D45550" w:rsidP="00E65285">
            <w:pPr>
              <w:pStyle w:val="Default"/>
              <w:rPr>
                <w:rFonts w:asciiTheme="minorHAnsi" w:hAnsiTheme="minorHAnsi" w:cstheme="minorHAnsi"/>
                <w:sz w:val="22"/>
                <w:szCs w:val="22"/>
              </w:rPr>
            </w:pPr>
            <w:r w:rsidRPr="00D45550">
              <w:rPr>
                <w:rFonts w:asciiTheme="minorHAnsi" w:hAnsiTheme="minorHAnsi" w:cstheme="minorHAnsi"/>
                <w:b/>
                <w:bCs/>
                <w:sz w:val="22"/>
                <w:szCs w:val="22"/>
              </w:rPr>
              <w:t xml:space="preserve">- </w:t>
            </w:r>
            <w:r w:rsidRPr="00D45550">
              <w:rPr>
                <w:rFonts w:asciiTheme="minorHAnsi" w:hAnsiTheme="minorHAnsi" w:cstheme="minorHAnsi"/>
                <w:sz w:val="22"/>
                <w:szCs w:val="22"/>
              </w:rPr>
              <w:t xml:space="preserve">comprendre qu’en présence de bien commun les négociations et accords internationaux liés à la préservation de l’environnement sont contraints par des stratégies de passager clandestin et les inégalités de développement entre pays. </w:t>
            </w:r>
          </w:p>
        </w:tc>
        <w:tc>
          <w:tcPr>
            <w:tcW w:w="1744" w:type="pct"/>
          </w:tcPr>
          <w:p w14:paraId="06499C7D" w14:textId="77777777" w:rsidR="00D45550" w:rsidRPr="00D45550" w:rsidRDefault="00D45550">
            <w:pPr>
              <w:pStyle w:val="Default"/>
              <w:rPr>
                <w:rFonts w:asciiTheme="minorHAnsi" w:hAnsiTheme="minorHAnsi" w:cstheme="minorHAnsi"/>
                <w:color w:val="auto"/>
                <w:sz w:val="22"/>
                <w:szCs w:val="22"/>
              </w:rPr>
            </w:pPr>
          </w:p>
        </w:tc>
      </w:tr>
    </w:tbl>
    <w:p w14:paraId="193CCBA6" w14:textId="61854A89" w:rsidR="00D45550" w:rsidRDefault="00D45550" w:rsidP="00CD0FC9">
      <w:pPr>
        <w:pStyle w:val="Sansinterligne"/>
      </w:pPr>
    </w:p>
    <w:tbl>
      <w:tblPr>
        <w:tblStyle w:val="Grilledutableau"/>
        <w:tblW w:w="0" w:type="auto"/>
        <w:tblLook w:val="04A0" w:firstRow="1" w:lastRow="0" w:firstColumn="1" w:lastColumn="0" w:noHBand="0" w:noVBand="1"/>
      </w:tblPr>
      <w:tblGrid>
        <w:gridCol w:w="5428"/>
        <w:gridCol w:w="5440"/>
        <w:gridCol w:w="4520"/>
      </w:tblGrid>
      <w:tr w:rsidR="006A6DA0" w:rsidRPr="00E65285" w14:paraId="22F192D5" w14:textId="435F4E5B" w:rsidTr="006A6DA0">
        <w:tc>
          <w:tcPr>
            <w:tcW w:w="10868" w:type="dxa"/>
            <w:gridSpan w:val="2"/>
            <w:vAlign w:val="center"/>
          </w:tcPr>
          <w:p w14:paraId="327A8FF6" w14:textId="2D4F657D" w:rsidR="006A6DA0" w:rsidRPr="00E65285" w:rsidRDefault="006A6DA0" w:rsidP="006A6DA0">
            <w:pPr>
              <w:pStyle w:val="Sansinterligne"/>
              <w:rPr>
                <w:b/>
                <w:bCs/>
              </w:rPr>
            </w:pPr>
            <w:r w:rsidRPr="006A6DA0">
              <w:rPr>
                <w:b/>
                <w:bCs/>
                <w:color w:val="0070C0"/>
              </w:rPr>
              <w:t>Objectifs d’apprentissage concernant l’utilisation des données quantitatives et des représentations graphiques</w:t>
            </w:r>
          </w:p>
        </w:tc>
        <w:tc>
          <w:tcPr>
            <w:tcW w:w="4520" w:type="dxa"/>
            <w:vAlign w:val="center"/>
          </w:tcPr>
          <w:p w14:paraId="5F12D194" w14:textId="26A6A5B1" w:rsidR="006A6DA0" w:rsidRDefault="006A6DA0" w:rsidP="006A6DA0">
            <w:pPr>
              <w:pStyle w:val="Sansinterligne"/>
              <w:jc w:val="center"/>
              <w:rPr>
                <w:b/>
                <w:bCs/>
                <w:color w:val="0070C0"/>
              </w:rPr>
            </w:pPr>
            <w:r w:rsidRPr="006A6DA0">
              <w:rPr>
                <w:b/>
                <w:bCs/>
                <w:color w:val="0070C0"/>
              </w:rPr>
              <w:t>Cochez ici</w:t>
            </w:r>
          </w:p>
          <w:p w14:paraId="3A4DC1AA" w14:textId="6FFF0D1B" w:rsidR="006A6DA0" w:rsidRPr="006A6DA0" w:rsidRDefault="006A6DA0" w:rsidP="006A6DA0">
            <w:pPr>
              <w:pStyle w:val="Sansinterligne"/>
              <w:jc w:val="center"/>
              <w:rPr>
                <w:i/>
                <w:iCs/>
              </w:rPr>
            </w:pPr>
            <w:r w:rsidRPr="006A6DA0">
              <w:rPr>
                <w:i/>
                <w:iCs/>
                <w:color w:val="0070C0"/>
              </w:rPr>
              <w:t>les objectifs d’apprentissage exploités dans vos réponses</w:t>
            </w:r>
          </w:p>
        </w:tc>
      </w:tr>
      <w:tr w:rsidR="006A6DA0" w14:paraId="128C3760" w14:textId="540B70F8" w:rsidTr="006A6DA0">
        <w:tc>
          <w:tcPr>
            <w:tcW w:w="5428" w:type="dxa"/>
          </w:tcPr>
          <w:p w14:paraId="289AAD47" w14:textId="4A0CE462" w:rsidR="006A6DA0" w:rsidRDefault="006A6DA0" w:rsidP="009956F0">
            <w:pPr>
              <w:pStyle w:val="Sansinterligne"/>
              <w:numPr>
                <w:ilvl w:val="0"/>
                <w:numId w:val="4"/>
              </w:numPr>
            </w:pPr>
            <w:r w:rsidRPr="006A6DA0">
              <w:rPr>
                <w:color w:val="0070C0"/>
              </w:rPr>
              <w:t xml:space="preserve">Des objectifs d’apprentissage à intégrer dans les réponses aux questions </w:t>
            </w:r>
          </w:p>
        </w:tc>
        <w:tc>
          <w:tcPr>
            <w:tcW w:w="5440" w:type="dxa"/>
          </w:tcPr>
          <w:p w14:paraId="6DC5D5E7" w14:textId="77777777" w:rsidR="006A6DA0" w:rsidRDefault="006A6DA0" w:rsidP="009956F0">
            <w:pPr>
              <w:pStyle w:val="Sansinterligne"/>
              <w:numPr>
                <w:ilvl w:val="0"/>
                <w:numId w:val="3"/>
              </w:numPr>
              <w:ind w:left="0" w:firstLine="0"/>
            </w:pPr>
            <w:r>
              <w:t>Calcul, lecture, interprétation</w:t>
            </w:r>
          </w:p>
          <w:p w14:paraId="59ABE32C" w14:textId="6C4072DA" w:rsidR="006A6DA0" w:rsidRDefault="006A6DA0" w:rsidP="009956F0">
            <w:pPr>
              <w:pStyle w:val="Sansinterligne"/>
              <w:numPr>
                <w:ilvl w:val="0"/>
                <w:numId w:val="3"/>
              </w:numPr>
              <w:ind w:left="0" w:firstLine="0"/>
            </w:pPr>
            <w:r>
              <w:t>Proportion, pourcentage de répartition (y compris leur utilisation pour transformer une table de mobilité en tables de destinée et de recrutement).</w:t>
            </w:r>
          </w:p>
          <w:p w14:paraId="3236EA53" w14:textId="6293BEE7" w:rsidR="006A6DA0" w:rsidRDefault="006A6DA0" w:rsidP="009956F0">
            <w:pPr>
              <w:pStyle w:val="Sansinterligne"/>
              <w:numPr>
                <w:ilvl w:val="0"/>
                <w:numId w:val="3"/>
              </w:numPr>
              <w:ind w:left="0" w:firstLine="0"/>
            </w:pPr>
            <w:r>
              <w:t>Taux de variation, taux de variation cumulé, coefficient multiplicateur, indice simple.</w:t>
            </w:r>
          </w:p>
          <w:p w14:paraId="7FC835BC" w14:textId="46A81B7D" w:rsidR="006A6DA0" w:rsidRDefault="006A6DA0" w:rsidP="009956F0">
            <w:pPr>
              <w:pStyle w:val="Sansinterligne"/>
              <w:numPr>
                <w:ilvl w:val="0"/>
                <w:numId w:val="3"/>
              </w:numPr>
              <w:ind w:left="0" w:firstLine="0"/>
            </w:pPr>
            <w:r>
              <w:t>Moyenne arithmétique simple et pondérée.</w:t>
            </w:r>
          </w:p>
          <w:p w14:paraId="3EC2675B" w14:textId="77777777" w:rsidR="006A6DA0" w:rsidRDefault="006A6DA0" w:rsidP="009956F0">
            <w:pPr>
              <w:pStyle w:val="Sansinterligne"/>
              <w:numPr>
                <w:ilvl w:val="0"/>
                <w:numId w:val="3"/>
              </w:numPr>
              <w:ind w:left="0" w:firstLine="0"/>
            </w:pPr>
            <w:r>
              <w:t>Lecture et interprétation</w:t>
            </w:r>
          </w:p>
          <w:p w14:paraId="4303E3DA" w14:textId="5F188E40" w:rsidR="006A6DA0" w:rsidRDefault="006A6DA0" w:rsidP="009956F0">
            <w:pPr>
              <w:pStyle w:val="Sansinterligne"/>
              <w:numPr>
                <w:ilvl w:val="0"/>
                <w:numId w:val="3"/>
              </w:numPr>
              <w:ind w:left="0" w:firstLine="0"/>
            </w:pPr>
            <w:r>
              <w:t>Indice synthétique.</w:t>
            </w:r>
          </w:p>
          <w:p w14:paraId="0748FB37" w14:textId="016E2B82" w:rsidR="006A6DA0" w:rsidRDefault="006A6DA0" w:rsidP="009956F0">
            <w:pPr>
              <w:pStyle w:val="Sansinterligne"/>
              <w:numPr>
                <w:ilvl w:val="0"/>
                <w:numId w:val="3"/>
              </w:numPr>
              <w:ind w:left="0" w:firstLine="0"/>
            </w:pPr>
            <w:r>
              <w:t>Médiane.</w:t>
            </w:r>
          </w:p>
          <w:p w14:paraId="15DA185E" w14:textId="7A87BECA" w:rsidR="006A6DA0" w:rsidRDefault="006A6DA0" w:rsidP="009956F0">
            <w:pPr>
              <w:pStyle w:val="Sansinterligne"/>
              <w:numPr>
                <w:ilvl w:val="0"/>
                <w:numId w:val="3"/>
              </w:numPr>
              <w:ind w:left="0" w:firstLine="0"/>
            </w:pPr>
            <w:r>
              <w:t>Écart et rapport inter-quantile.</w:t>
            </w:r>
          </w:p>
          <w:p w14:paraId="6AE58824" w14:textId="11E2AE94" w:rsidR="006A6DA0" w:rsidRDefault="006A6DA0" w:rsidP="009956F0">
            <w:pPr>
              <w:pStyle w:val="Sansinterligne"/>
              <w:numPr>
                <w:ilvl w:val="0"/>
                <w:numId w:val="3"/>
              </w:numPr>
              <w:ind w:left="0" w:firstLine="0"/>
            </w:pPr>
            <w:r>
              <w:t>Coefficient de Gini.</w:t>
            </w:r>
          </w:p>
          <w:p w14:paraId="02A4BD8D" w14:textId="5B115D46" w:rsidR="006A6DA0" w:rsidRDefault="006A6DA0" w:rsidP="009956F0">
            <w:pPr>
              <w:pStyle w:val="Sansinterligne"/>
              <w:numPr>
                <w:ilvl w:val="0"/>
                <w:numId w:val="3"/>
              </w:numPr>
              <w:ind w:left="0" w:firstLine="0"/>
            </w:pPr>
            <w:r>
              <w:t>Corrélation et causalité.</w:t>
            </w:r>
          </w:p>
          <w:p w14:paraId="05087011" w14:textId="1EFD6649" w:rsidR="006A6DA0" w:rsidRDefault="006A6DA0" w:rsidP="009956F0">
            <w:pPr>
              <w:pStyle w:val="Sansinterligne"/>
              <w:numPr>
                <w:ilvl w:val="0"/>
                <w:numId w:val="3"/>
              </w:numPr>
              <w:ind w:left="0" w:firstLine="0"/>
            </w:pPr>
            <w:r>
              <w:t>Taux de variation moyen.</w:t>
            </w:r>
          </w:p>
          <w:p w14:paraId="2FBFE53D" w14:textId="77F0B8CC" w:rsidR="006A6DA0" w:rsidRDefault="006A6DA0" w:rsidP="009956F0">
            <w:pPr>
              <w:pStyle w:val="Sansinterligne"/>
              <w:numPr>
                <w:ilvl w:val="0"/>
                <w:numId w:val="3"/>
              </w:numPr>
              <w:ind w:left="0" w:firstLine="0"/>
            </w:pPr>
            <w:r>
              <w:t>Valeur nominale, valeur réelle (notamment, taux d'intérêt nominal et taux d'intérêt réel).</w:t>
            </w:r>
          </w:p>
          <w:p w14:paraId="6FCA344F" w14:textId="1CD0580E" w:rsidR="006A6DA0" w:rsidRDefault="006A6DA0" w:rsidP="009956F0">
            <w:pPr>
              <w:pStyle w:val="Sansinterligne"/>
              <w:numPr>
                <w:ilvl w:val="0"/>
                <w:numId w:val="3"/>
              </w:numPr>
              <w:ind w:left="0" w:firstLine="0"/>
            </w:pPr>
            <w:r>
              <w:t>Tableau à double-entrée.</w:t>
            </w:r>
          </w:p>
          <w:p w14:paraId="3B459F84" w14:textId="3B68ADB3" w:rsidR="006A6DA0" w:rsidRDefault="006A6DA0" w:rsidP="009956F0">
            <w:pPr>
              <w:pStyle w:val="Sansinterligne"/>
              <w:numPr>
                <w:ilvl w:val="0"/>
                <w:numId w:val="3"/>
              </w:numPr>
              <w:ind w:left="0" w:firstLine="0"/>
            </w:pPr>
            <w:r>
              <w:t>Représentations graphiques : diagrammes de répartition, représentation de séries chronologiques, courbe de Lorenz.</w:t>
            </w:r>
          </w:p>
          <w:p w14:paraId="50F64399" w14:textId="5ACC358B" w:rsidR="006A6DA0" w:rsidRDefault="006A6DA0" w:rsidP="009956F0">
            <w:pPr>
              <w:pStyle w:val="Sansinterligne"/>
              <w:numPr>
                <w:ilvl w:val="0"/>
                <w:numId w:val="3"/>
              </w:numPr>
              <w:ind w:left="0" w:firstLine="0"/>
            </w:pPr>
            <w:r>
              <w:t>Représentation graphique de fonctions simples (offre, demande, coût) et interprétation de leurs pentes et de leurs déplacements.</w:t>
            </w:r>
          </w:p>
        </w:tc>
        <w:tc>
          <w:tcPr>
            <w:tcW w:w="4520" w:type="dxa"/>
          </w:tcPr>
          <w:p w14:paraId="55F9CE9B" w14:textId="77777777" w:rsidR="006A6DA0" w:rsidRPr="006A6DA0" w:rsidRDefault="006A6DA0" w:rsidP="006A6DA0">
            <w:pPr>
              <w:pStyle w:val="Sansinterligne"/>
              <w:rPr>
                <w:b/>
                <w:bCs/>
              </w:rPr>
            </w:pPr>
          </w:p>
        </w:tc>
      </w:tr>
    </w:tbl>
    <w:p w14:paraId="4199C3ED" w14:textId="6D0675EF" w:rsidR="00E65285" w:rsidRDefault="00E65285" w:rsidP="00CD0FC9">
      <w:pPr>
        <w:pStyle w:val="Sansinterligne"/>
      </w:pPr>
    </w:p>
    <w:p w14:paraId="6FA3ADB1" w14:textId="77777777" w:rsidR="007755DC" w:rsidRDefault="007755DC" w:rsidP="007755DC">
      <w:pPr>
        <w:pStyle w:val="Sansinterligne"/>
      </w:pPr>
      <w:r>
        <w:t xml:space="preserve">Ressource déposée sur </w:t>
      </w:r>
      <w:proofErr w:type="spellStart"/>
      <w:r>
        <w:t>M@gistère</w:t>
      </w:r>
      <w:proofErr w:type="spellEnd"/>
      <w:r>
        <w:t xml:space="preserve"> AEFE-SES (Sylvie </w:t>
      </w:r>
      <w:proofErr w:type="spellStart"/>
      <w:r>
        <w:t>Arnaudin</w:t>
      </w:r>
      <w:proofErr w:type="spellEnd"/>
      <w:r>
        <w:t>)</w:t>
      </w:r>
    </w:p>
    <w:p w14:paraId="754B546A" w14:textId="77777777" w:rsidR="007755DC" w:rsidRDefault="007755DC" w:rsidP="007755DC">
      <w:pPr>
        <w:pStyle w:val="Sansinterligne"/>
      </w:pPr>
    </w:p>
    <w:p w14:paraId="2BE74D28" w14:textId="77777777" w:rsidR="007755DC" w:rsidRDefault="007755DC" w:rsidP="00CD0FC9">
      <w:pPr>
        <w:pStyle w:val="Sansinterligne"/>
      </w:pPr>
      <w:bookmarkStart w:id="2" w:name="_GoBack"/>
      <w:bookmarkEnd w:id="2"/>
    </w:p>
    <w:sectPr w:rsidR="007755DC" w:rsidSect="009F47DF">
      <w:pgSz w:w="16838" w:h="11906" w:orient="landscape"/>
      <w:pgMar w:top="720" w:right="720" w:bottom="720" w:left="720" w:header="709" w:footer="709" w:gutter="0"/>
      <w:pgNumType w:start="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731FC"/>
    <w:multiLevelType w:val="hybridMultilevel"/>
    <w:tmpl w:val="B9FECF36"/>
    <w:lvl w:ilvl="0" w:tplc="F77274C8">
      <w:start w:val="1"/>
      <w:numFmt w:val="decimal"/>
      <w:lvlText w:val="%1."/>
      <w:lvlJc w:val="left"/>
      <w:pPr>
        <w:ind w:left="720" w:hanging="360"/>
      </w:pPr>
      <w:rPr>
        <w:rFonts w:hint="default"/>
        <w:b w:val="0"/>
        <w:color w:val="auto"/>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F515F8"/>
    <w:multiLevelType w:val="hybridMultilevel"/>
    <w:tmpl w:val="1DE8C99E"/>
    <w:lvl w:ilvl="0" w:tplc="7098F860">
      <w:start w:val="1"/>
      <w:numFmt w:val="bullet"/>
      <w:lvlText w:val="è"/>
      <w:lvlJc w:val="left"/>
      <w:pPr>
        <w:ind w:left="720" w:hanging="360"/>
      </w:pPr>
      <w:rPr>
        <w:rFonts w:ascii="Wingdings 3" w:hAnsi="Wingdings 3"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B27F53"/>
    <w:multiLevelType w:val="hybridMultilevel"/>
    <w:tmpl w:val="C916DE0E"/>
    <w:lvl w:ilvl="0" w:tplc="01A8E996">
      <w:numFmt w:val="bullet"/>
      <w:lvlText w:val="-"/>
      <w:lvlJc w:val="left"/>
      <w:pPr>
        <w:ind w:left="720" w:hanging="360"/>
      </w:pPr>
      <w:rPr>
        <w:rFonts w:ascii="Arial Unicode MS" w:eastAsia="Arial Unicode MS" w:hAnsi="Arial Unicode MS" w:cs="Arial Unicode MS"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0BA7AB7"/>
    <w:multiLevelType w:val="hybridMultilevel"/>
    <w:tmpl w:val="211A475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FC9"/>
    <w:rsid w:val="000131EF"/>
    <w:rsid w:val="001D4841"/>
    <w:rsid w:val="002D5BFD"/>
    <w:rsid w:val="00363FD3"/>
    <w:rsid w:val="003A7F6B"/>
    <w:rsid w:val="004706C0"/>
    <w:rsid w:val="004740F2"/>
    <w:rsid w:val="004D70C7"/>
    <w:rsid w:val="0061399D"/>
    <w:rsid w:val="00634491"/>
    <w:rsid w:val="006A6DA0"/>
    <w:rsid w:val="007755DC"/>
    <w:rsid w:val="00783723"/>
    <w:rsid w:val="009956F0"/>
    <w:rsid w:val="009F2493"/>
    <w:rsid w:val="009F47DF"/>
    <w:rsid w:val="00B44A73"/>
    <w:rsid w:val="00C22D7D"/>
    <w:rsid w:val="00CD0FC9"/>
    <w:rsid w:val="00D45550"/>
    <w:rsid w:val="00D716E7"/>
    <w:rsid w:val="00DC2BAA"/>
    <w:rsid w:val="00E65285"/>
    <w:rsid w:val="00EA4F1C"/>
    <w:rsid w:val="00F721D3"/>
    <w:rsid w:val="00FD5B45"/>
    <w:rsid w:val="00FE67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4661C"/>
  <w15:chartTrackingRefBased/>
  <w15:docId w15:val="{1AFB17E9-883E-4435-A544-AF0100A3E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285"/>
    <w:pPr>
      <w:framePr w:wrap="around" w:vAnchor="text" w:hAnchor="text" w:y="1"/>
      <w:spacing w:after="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34491"/>
    <w:pPr>
      <w:spacing w:after="0" w:line="240" w:lineRule="auto"/>
    </w:pPr>
  </w:style>
  <w:style w:type="paragraph" w:styleId="Titre">
    <w:name w:val="Title"/>
    <w:basedOn w:val="Normal"/>
    <w:next w:val="Normal"/>
    <w:link w:val="TitreCar"/>
    <w:uiPriority w:val="10"/>
    <w:qFormat/>
    <w:rsid w:val="009F47DF"/>
    <w:pPr>
      <w:framePr w:wrap="auto" w:vAnchor="margin" w:yAlign="inline"/>
      <w:spacing w:line="216" w:lineRule="auto"/>
      <w:contextualSpacing/>
    </w:pPr>
    <w:rPr>
      <w:rFonts w:asciiTheme="majorHAnsi" w:eastAsiaTheme="majorEastAsia" w:hAnsiTheme="majorHAnsi" w:cstheme="majorBidi"/>
      <w:color w:val="404040" w:themeColor="text1" w:themeTint="BF"/>
      <w:spacing w:val="-10"/>
      <w:kern w:val="28"/>
      <w:sz w:val="56"/>
      <w:szCs w:val="56"/>
      <w:lang w:eastAsia="fr-FR"/>
    </w:rPr>
  </w:style>
  <w:style w:type="character" w:customStyle="1" w:styleId="TitreCar">
    <w:name w:val="Titre Car"/>
    <w:basedOn w:val="Policepardfaut"/>
    <w:link w:val="Titre"/>
    <w:uiPriority w:val="10"/>
    <w:rsid w:val="009F47DF"/>
    <w:rPr>
      <w:rFonts w:asciiTheme="majorHAnsi" w:eastAsiaTheme="majorEastAsia" w:hAnsiTheme="majorHAnsi" w:cstheme="majorBidi"/>
      <w:color w:val="404040" w:themeColor="text1" w:themeTint="BF"/>
      <w:spacing w:val="-10"/>
      <w:kern w:val="28"/>
      <w:sz w:val="56"/>
      <w:szCs w:val="56"/>
      <w:lang w:eastAsia="fr-FR"/>
    </w:rPr>
  </w:style>
  <w:style w:type="paragraph" w:styleId="Sous-titre">
    <w:name w:val="Subtitle"/>
    <w:basedOn w:val="Normal"/>
    <w:next w:val="Normal"/>
    <w:link w:val="Sous-titreCar"/>
    <w:uiPriority w:val="11"/>
    <w:qFormat/>
    <w:rsid w:val="009F47DF"/>
    <w:pPr>
      <w:framePr w:wrap="auto" w:vAnchor="margin" w:yAlign="inline"/>
      <w:numPr>
        <w:ilvl w:val="1"/>
      </w:numPr>
      <w:spacing w:after="160" w:line="259" w:lineRule="auto"/>
    </w:pPr>
    <w:rPr>
      <w:rFonts w:eastAsiaTheme="minorEastAsia" w:cs="Times New Roman"/>
      <w:color w:val="5A5A5A" w:themeColor="text1" w:themeTint="A5"/>
      <w:spacing w:val="15"/>
      <w:lang w:eastAsia="fr-FR"/>
    </w:rPr>
  </w:style>
  <w:style w:type="character" w:customStyle="1" w:styleId="Sous-titreCar">
    <w:name w:val="Sous-titre Car"/>
    <w:basedOn w:val="Policepardfaut"/>
    <w:link w:val="Sous-titre"/>
    <w:uiPriority w:val="11"/>
    <w:rsid w:val="009F47DF"/>
    <w:rPr>
      <w:rFonts w:eastAsiaTheme="minorEastAsia" w:cs="Times New Roman"/>
      <w:color w:val="5A5A5A" w:themeColor="text1" w:themeTint="A5"/>
      <w:spacing w:val="15"/>
      <w:lang w:eastAsia="fr-FR"/>
    </w:rPr>
  </w:style>
  <w:style w:type="character" w:styleId="Lienhypertexte">
    <w:name w:val="Hyperlink"/>
    <w:basedOn w:val="Policepardfaut"/>
    <w:uiPriority w:val="99"/>
    <w:unhideWhenUsed/>
    <w:rsid w:val="00DC2BAA"/>
    <w:rPr>
      <w:color w:val="0000FF" w:themeColor="hyperlink"/>
      <w:u w:val="single"/>
    </w:rPr>
  </w:style>
  <w:style w:type="character" w:customStyle="1" w:styleId="UnresolvedMention">
    <w:name w:val="Unresolved Mention"/>
    <w:basedOn w:val="Policepardfaut"/>
    <w:uiPriority w:val="99"/>
    <w:semiHidden/>
    <w:unhideWhenUsed/>
    <w:rsid w:val="00DC2BAA"/>
    <w:rPr>
      <w:color w:val="605E5C"/>
      <w:shd w:val="clear" w:color="auto" w:fill="E1DFDD"/>
    </w:rPr>
  </w:style>
  <w:style w:type="table" w:styleId="Grilledutableau">
    <w:name w:val="Table Grid"/>
    <w:basedOn w:val="TableauNormal"/>
    <w:uiPriority w:val="59"/>
    <w:rsid w:val="00DC2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4A7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1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scol.education.fr/cid149452/presentation-du-grand-oral.html" TargetMode="External"/><Relationship Id="rId3" Type="http://schemas.openxmlformats.org/officeDocument/2006/relationships/styles" Target="styles.xml"/><Relationship Id="rId7" Type="http://schemas.openxmlformats.org/officeDocument/2006/relationships/image" Target="media/image10.jf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f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Comment se passe l’épreuve du Grand Oral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2324</Words>
  <Characters>12785</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l’épreuve du grand oral</vt:lpstr>
    </vt:vector>
  </TitlesOfParts>
  <Company/>
  <LinksUpToDate>false</LinksUpToDate>
  <CharactersWithSpaces>15079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l’épreuve du grand oral</dc:title>
  <dc:subject>Découvrir-Préparer-Passer l’épreuve du Grand Oral</dc:subject>
  <dc:creator>Sylvie ARNAUDIN</dc:creator>
  <cp:keywords/>
  <dc:description/>
  <cp:lastModifiedBy>Rectorat</cp:lastModifiedBy>
  <cp:revision>2</cp:revision>
  <cp:lastPrinted>2020-08-30T15:41:00Z</cp:lastPrinted>
  <dcterms:created xsi:type="dcterms:W3CDTF">2021-03-07T14:42:00Z</dcterms:created>
  <dcterms:modified xsi:type="dcterms:W3CDTF">2021-03-07T14:42:00Z</dcterms:modified>
</cp:coreProperties>
</file>