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C51" w:rsidRPr="008F7C51" w:rsidRDefault="008F7C51" w:rsidP="008F7C5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fr-FR"/>
        </w:rPr>
      </w:pPr>
      <w:bookmarkStart w:id="0" w:name="_GoBack"/>
      <w:bookmarkEnd w:id="0"/>
      <w:r w:rsidRPr="008F7C51">
        <w:rPr>
          <w:rFonts w:eastAsia="Times New Roman" w:cstheme="minorHAnsi"/>
          <w:b/>
          <w:bCs/>
          <w:kern w:val="36"/>
          <w:sz w:val="48"/>
          <w:szCs w:val="48"/>
          <w:lang w:eastAsia="fr-FR"/>
        </w:rPr>
        <w:t>Formation : Esclavage, traites et abolitions</w:t>
      </w:r>
    </w:p>
    <w:p w:rsidR="008F7C51" w:rsidRDefault="008F7C51" w:rsidP="008F7C5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sz w:val="24"/>
          <w:szCs w:val="24"/>
          <w:lang w:eastAsia="fr-FR"/>
        </w:rPr>
        <w:t>9 décembre 2024</w:t>
      </w:r>
    </w:p>
    <w:p w:rsidR="008F7C51" w:rsidRPr="008F7C51" w:rsidRDefault="008F7C51" w:rsidP="008F7C51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Conférencier : Bernard Michon (MCF, Nantes Université)</w:t>
      </w:r>
    </w:p>
    <w:p w:rsidR="008F7C51" w:rsidRPr="008F7C51" w:rsidRDefault="008F7C51" w:rsidP="008F7C5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8F7C51">
        <w:rPr>
          <w:rFonts w:eastAsia="Times New Roman" w:cstheme="minorHAnsi"/>
          <w:b/>
          <w:bCs/>
          <w:sz w:val="36"/>
          <w:szCs w:val="36"/>
          <w:lang w:eastAsia="fr-FR"/>
        </w:rPr>
        <w:t>Introduction</w:t>
      </w:r>
    </w:p>
    <w:p w:rsidR="008F7C51" w:rsidRPr="008F7C51" w:rsidRDefault="008F7C51" w:rsidP="008F7C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Références audiovisuelles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i/>
          <w:iCs/>
          <w:sz w:val="24"/>
          <w:szCs w:val="24"/>
          <w:lang w:eastAsia="fr-FR"/>
        </w:rPr>
        <w:t>Ni chaînes, ni maîtres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 un film de fiction bien documenté.</w:t>
      </w:r>
    </w:p>
    <w:p w:rsidR="008F7C51" w:rsidRPr="008F7C51" w:rsidRDefault="008F7C51" w:rsidP="008F7C5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i/>
          <w:iCs/>
          <w:sz w:val="24"/>
          <w:szCs w:val="24"/>
          <w:lang w:eastAsia="fr-FR"/>
        </w:rPr>
        <w:t>Les routes de l’esclavage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 un documentaire historique.</w:t>
      </w:r>
    </w:p>
    <w:p w:rsidR="008F7C51" w:rsidRPr="008F7C51" w:rsidRDefault="008F7C51" w:rsidP="008F7C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Référence culturelle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Morne Brabant : évocation d’un suicide collectif, entre mémoire vive et mythe.</w:t>
      </w:r>
    </w:p>
    <w:p w:rsidR="008F7C51" w:rsidRPr="008F7C51" w:rsidRDefault="008F7C51" w:rsidP="008F7C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Axes thématiques riches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Les habitations.</w:t>
      </w:r>
    </w:p>
    <w:p w:rsidR="008F7C51" w:rsidRPr="008F7C51" w:rsidRDefault="008F7C51" w:rsidP="008F7C5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L’</w:t>
      </w:r>
      <w:proofErr w:type="spellStart"/>
      <w:r w:rsidRPr="008F7C51">
        <w:rPr>
          <w:rFonts w:eastAsia="Times New Roman" w:cstheme="minorHAnsi"/>
          <w:sz w:val="24"/>
          <w:szCs w:val="24"/>
          <w:lang w:eastAsia="fr-FR"/>
        </w:rPr>
        <w:t>agentivité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 xml:space="preserve"> (</w:t>
      </w:r>
      <w:proofErr w:type="spellStart"/>
      <w:r w:rsidRPr="008F7C51">
        <w:rPr>
          <w:rFonts w:eastAsia="Times New Roman" w:cstheme="minorHAnsi"/>
          <w:i/>
          <w:sz w:val="24"/>
          <w:szCs w:val="24"/>
          <w:lang w:eastAsia="fr-FR"/>
        </w:rPr>
        <w:t>agency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>).</w:t>
      </w:r>
    </w:p>
    <w:p w:rsidR="008F7C51" w:rsidRPr="008F7C51" w:rsidRDefault="008F7C51" w:rsidP="008F7C5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Le marronnage : une approche de l’histoire v</w:t>
      </w:r>
      <w:r w:rsidR="00BE1693">
        <w:rPr>
          <w:rFonts w:eastAsia="Times New Roman" w:cstheme="minorHAnsi"/>
          <w:sz w:val="24"/>
          <w:szCs w:val="24"/>
          <w:lang w:eastAsia="fr-FR"/>
        </w:rPr>
        <w:t>ue du côté des opprimés (océan I</w:t>
      </w:r>
      <w:r w:rsidRPr="008F7C51">
        <w:rPr>
          <w:rFonts w:eastAsia="Times New Roman" w:cstheme="minorHAnsi"/>
          <w:sz w:val="24"/>
          <w:szCs w:val="24"/>
          <w:lang w:eastAsia="fr-FR"/>
        </w:rPr>
        <w:t>ndien).</w:t>
      </w:r>
    </w:p>
    <w:p w:rsidR="008F7C51" w:rsidRPr="008F7C51" w:rsidRDefault="008F7C51" w:rsidP="008F7C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Programmes académiques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Renouvellement et ouverture thématique.</w:t>
      </w:r>
    </w:p>
    <w:p w:rsidR="008F7C51" w:rsidRPr="008F7C51" w:rsidRDefault="008F7C51" w:rsidP="008F7C5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Place centrale de Saint-Domingue dans l’étude.</w:t>
      </w:r>
    </w:p>
    <w:p w:rsidR="008F7C51" w:rsidRPr="008F7C51" w:rsidRDefault="008F7C51" w:rsidP="008F7C5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Le processus abolitionniste :</w:t>
      </w:r>
    </w:p>
    <w:p w:rsidR="008F7C51" w:rsidRPr="008F7C51" w:rsidRDefault="008F7C51" w:rsidP="008F7C51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La République comme force abolitionniste.</w:t>
      </w:r>
    </w:p>
    <w:p w:rsidR="008F7C51" w:rsidRPr="008F7C51" w:rsidRDefault="008F7C51" w:rsidP="008F7C51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Rôle actif des esclaves eux-mêmes.</w:t>
      </w:r>
    </w:p>
    <w:p w:rsidR="008F7C51" w:rsidRPr="008F7C51" w:rsidRDefault="008F7C51" w:rsidP="008F7C5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8F7C51">
        <w:rPr>
          <w:rFonts w:eastAsia="Times New Roman" w:cstheme="minorHAnsi"/>
          <w:b/>
          <w:bCs/>
          <w:sz w:val="36"/>
          <w:szCs w:val="36"/>
          <w:lang w:eastAsia="fr-FR"/>
        </w:rPr>
        <w:t>1. Terminologie</w:t>
      </w:r>
    </w:p>
    <w:p w:rsidR="008F7C51" w:rsidRPr="008F7C51" w:rsidRDefault="008F7C51" w:rsidP="008F7C5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8F7C51">
        <w:rPr>
          <w:rFonts w:eastAsia="Times New Roman" w:cstheme="minorHAnsi"/>
          <w:b/>
          <w:bCs/>
          <w:sz w:val="27"/>
          <w:szCs w:val="27"/>
          <w:lang w:eastAsia="fr-FR"/>
        </w:rPr>
        <w:t>La traite</w:t>
      </w:r>
    </w:p>
    <w:p w:rsidR="008F7C51" w:rsidRPr="008F7C51" w:rsidRDefault="008F7C51" w:rsidP="008F7C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Notions principales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Commerce triangulaire, mais 50 % du commerce se fait en droiture.</w:t>
      </w:r>
    </w:p>
    <w:p w:rsidR="008F7C51" w:rsidRPr="008F7C51" w:rsidRDefault="008F7C51" w:rsidP="008F7C5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Dimension atlantique mais aussi océan Indien.</w:t>
      </w:r>
    </w:p>
    <w:p w:rsidR="008F7C51" w:rsidRPr="008F7C51" w:rsidRDefault="008F7C51" w:rsidP="008F7C5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Perspective européenne (également le Brésil portugais).</w:t>
      </w:r>
    </w:p>
    <w:p w:rsidR="008F7C51" w:rsidRPr="008F7C51" w:rsidRDefault="00BE1693" w:rsidP="008F7C5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Traite</w:t>
      </w:r>
      <w:r w:rsidR="008F7C51" w:rsidRPr="008F7C51">
        <w:rPr>
          <w:rFonts w:eastAsia="Times New Roman" w:cstheme="minorHAnsi"/>
          <w:sz w:val="24"/>
          <w:szCs w:val="24"/>
          <w:lang w:eastAsia="fr-FR"/>
        </w:rPr>
        <w:t>s interne et orientale (</w:t>
      </w:r>
      <w:r>
        <w:rPr>
          <w:rFonts w:eastAsia="Times New Roman" w:cstheme="minorHAnsi"/>
          <w:sz w:val="24"/>
          <w:szCs w:val="24"/>
          <w:lang w:eastAsia="fr-FR"/>
        </w:rPr>
        <w:t xml:space="preserve">et </w:t>
      </w:r>
      <w:r w:rsidR="008F7C51" w:rsidRPr="008F7C51">
        <w:rPr>
          <w:rFonts w:eastAsia="Times New Roman" w:cstheme="minorHAnsi"/>
          <w:sz w:val="24"/>
          <w:szCs w:val="24"/>
          <w:lang w:eastAsia="fr-FR"/>
        </w:rPr>
        <w:t>perspective occidentale).</w:t>
      </w:r>
    </w:p>
    <w:p w:rsidR="008F7C51" w:rsidRPr="008F7C51" w:rsidRDefault="008F7C51" w:rsidP="008F7C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Débats terminologiques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 xml:space="preserve">"Négrière" : un terme à problème (usage controversé du « n </w:t>
      </w:r>
      <w:proofErr w:type="spellStart"/>
      <w:r w:rsidRPr="008F7C51">
        <w:rPr>
          <w:rFonts w:eastAsia="Times New Roman" w:cstheme="minorHAnsi"/>
          <w:sz w:val="24"/>
          <w:szCs w:val="24"/>
          <w:lang w:eastAsia="fr-FR"/>
        </w:rPr>
        <w:t>word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 xml:space="preserve"> »).</w:t>
      </w:r>
    </w:p>
    <w:p w:rsidR="008F7C51" w:rsidRPr="008F7C51" w:rsidRDefault="008F7C51" w:rsidP="008F7C5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"Des Noirs" : une essentialisation.</w:t>
      </w:r>
    </w:p>
    <w:p w:rsidR="008F7C51" w:rsidRPr="008F7C51" w:rsidRDefault="008F7C51" w:rsidP="008F7C5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"Esclavagiste" : met l’accent sur la finalité.</w:t>
      </w:r>
    </w:p>
    <w:p w:rsidR="008F7C51" w:rsidRPr="008F7C51" w:rsidRDefault="008F7C51" w:rsidP="008F7C5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8F7C51">
        <w:rPr>
          <w:rFonts w:eastAsia="Times New Roman" w:cstheme="minorHAnsi"/>
          <w:b/>
          <w:bCs/>
          <w:sz w:val="27"/>
          <w:szCs w:val="27"/>
          <w:lang w:eastAsia="fr-FR"/>
        </w:rPr>
        <w:t>L’esclavage</w:t>
      </w:r>
    </w:p>
    <w:p w:rsidR="008F7C51" w:rsidRPr="008F7C51" w:rsidRDefault="008F7C51" w:rsidP="008F7C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 xml:space="preserve">Référence à Olivier </w:t>
      </w:r>
      <w:proofErr w:type="spellStart"/>
      <w:r w:rsidRPr="008F7C51">
        <w:rPr>
          <w:rFonts w:eastAsia="Times New Roman" w:cstheme="minorHAnsi"/>
          <w:sz w:val="24"/>
          <w:szCs w:val="24"/>
          <w:lang w:eastAsia="fr-FR"/>
        </w:rPr>
        <w:t>Grenouilleau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 xml:space="preserve"> (</w:t>
      </w:r>
      <w:r w:rsidRPr="008F7C51">
        <w:rPr>
          <w:rFonts w:eastAsia="Times New Roman" w:cstheme="minorHAnsi"/>
          <w:i/>
          <w:iCs/>
          <w:sz w:val="24"/>
          <w:szCs w:val="24"/>
          <w:lang w:eastAsia="fr-FR"/>
        </w:rPr>
        <w:t>L’autre, le possédé, l’utile, « l’homme frontière »</w:t>
      </w:r>
      <w:r w:rsidRPr="008F7C51">
        <w:rPr>
          <w:rFonts w:eastAsia="Times New Roman" w:cstheme="minorHAnsi"/>
          <w:sz w:val="24"/>
          <w:szCs w:val="24"/>
          <w:lang w:eastAsia="fr-FR"/>
        </w:rPr>
        <w:t>).</w:t>
      </w:r>
    </w:p>
    <w:p w:rsidR="008F7C51" w:rsidRPr="008F7C51" w:rsidRDefault="008F7C51" w:rsidP="008F7C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Évolution des termes :</w:t>
      </w:r>
    </w:p>
    <w:p w:rsidR="008F7C51" w:rsidRPr="008F7C51" w:rsidRDefault="008F7C51" w:rsidP="008F7C5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"Esclave" &gt; "</w:t>
      </w:r>
      <w:proofErr w:type="spellStart"/>
      <w:r w:rsidRPr="008F7C51">
        <w:rPr>
          <w:rFonts w:eastAsia="Times New Roman" w:cstheme="minorHAnsi"/>
          <w:sz w:val="24"/>
          <w:szCs w:val="24"/>
          <w:lang w:eastAsia="fr-FR"/>
        </w:rPr>
        <w:t>esclavisé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>" &gt; "</w:t>
      </w:r>
      <w:proofErr w:type="spellStart"/>
      <w:r w:rsidRPr="008F7C51">
        <w:rPr>
          <w:rFonts w:eastAsia="Times New Roman" w:cstheme="minorHAnsi"/>
          <w:sz w:val="24"/>
          <w:szCs w:val="24"/>
          <w:lang w:eastAsia="fr-FR"/>
        </w:rPr>
        <w:t>esclavagisé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>".</w:t>
      </w:r>
    </w:p>
    <w:p w:rsidR="008F7C51" w:rsidRPr="008F7C51" w:rsidRDefault="008F7C51" w:rsidP="008F7C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lastRenderedPageBreak/>
        <w:t>Projet international :</w:t>
      </w:r>
    </w:p>
    <w:p w:rsidR="008F7C51" w:rsidRPr="008F7C51" w:rsidRDefault="008F7C51" w:rsidP="008F7C5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i/>
          <w:iCs/>
          <w:sz w:val="24"/>
          <w:szCs w:val="24"/>
          <w:lang w:eastAsia="fr-FR"/>
        </w:rPr>
        <w:t>La route des esclaves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(1994) : mise en avant des "personnes mises en esclavage".</w:t>
      </w:r>
    </w:p>
    <w:p w:rsidR="008F7C51" w:rsidRPr="008F7C51" w:rsidRDefault="008F7C51" w:rsidP="008F7C5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fr-FR"/>
        </w:rPr>
      </w:pPr>
      <w:r w:rsidRPr="008F7C51">
        <w:rPr>
          <w:rFonts w:eastAsia="Times New Roman" w:cstheme="minorHAnsi"/>
          <w:b/>
          <w:bCs/>
          <w:sz w:val="27"/>
          <w:szCs w:val="27"/>
          <w:lang w:eastAsia="fr-FR"/>
        </w:rPr>
        <w:t>Les abolitions</w:t>
      </w:r>
    </w:p>
    <w:p w:rsidR="008F7C51" w:rsidRPr="008F7C51" w:rsidRDefault="008F7C51" w:rsidP="008F7C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Un phénomène complexe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En France : 1794, 1802, 1848.</w:t>
      </w:r>
    </w:p>
    <w:p w:rsidR="008F7C51" w:rsidRPr="008F7C51" w:rsidRDefault="008F7C51" w:rsidP="008F7C5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"Le siècle des abolitions" : de la fin du XVIIIe à la fin du XIXe siècle.</w:t>
      </w:r>
    </w:p>
    <w:p w:rsidR="008F7C51" w:rsidRPr="008F7C51" w:rsidRDefault="008F7C51" w:rsidP="008F7C5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Processus d’émancipation</w:t>
      </w:r>
      <w:r w:rsidR="00BE1693">
        <w:rPr>
          <w:rFonts w:eastAsia="Times New Roman" w:cstheme="minorHAnsi"/>
          <w:sz w:val="24"/>
          <w:szCs w:val="24"/>
          <w:lang w:eastAsia="fr-FR"/>
        </w:rPr>
        <w:t xml:space="preserve"> : à analyser dans sa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globalité.</w:t>
      </w:r>
    </w:p>
    <w:p w:rsidR="008F7C51" w:rsidRPr="008F7C51" w:rsidRDefault="008F7C51" w:rsidP="008F7C5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8F7C51">
        <w:rPr>
          <w:rFonts w:eastAsia="Times New Roman" w:cstheme="minorHAnsi"/>
          <w:b/>
          <w:bCs/>
          <w:sz w:val="36"/>
          <w:szCs w:val="36"/>
          <w:lang w:eastAsia="fr-FR"/>
        </w:rPr>
        <w:t>2. L’Afrique et la traite esclavagiste</w:t>
      </w:r>
    </w:p>
    <w:p w:rsidR="008F7C51" w:rsidRPr="008F7C51" w:rsidRDefault="008F7C51" w:rsidP="008F7C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Diversité du continent africain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 xml:space="preserve">Référence à François-Xavier </w:t>
      </w:r>
      <w:proofErr w:type="spellStart"/>
      <w:r w:rsidRPr="008F7C51">
        <w:rPr>
          <w:rFonts w:eastAsia="Times New Roman" w:cstheme="minorHAnsi"/>
          <w:sz w:val="24"/>
          <w:szCs w:val="24"/>
          <w:lang w:eastAsia="fr-FR"/>
        </w:rPr>
        <w:t>Fauvelle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>.</w:t>
      </w:r>
    </w:p>
    <w:p w:rsidR="008F7C51" w:rsidRPr="008F7C51" w:rsidRDefault="008F7C51" w:rsidP="008F7C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Division internationale du travail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 xml:space="preserve">Analyse de Guy </w:t>
      </w:r>
      <w:proofErr w:type="spellStart"/>
      <w:r w:rsidRPr="008F7C51">
        <w:rPr>
          <w:rFonts w:eastAsia="Times New Roman" w:cstheme="minorHAnsi"/>
          <w:sz w:val="24"/>
          <w:szCs w:val="24"/>
          <w:lang w:eastAsia="fr-FR"/>
        </w:rPr>
        <w:t>Saupin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>.</w:t>
      </w:r>
    </w:p>
    <w:p w:rsidR="008F7C51" w:rsidRPr="008F7C51" w:rsidRDefault="008F7C51" w:rsidP="008F7C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Rôle des intermédiaires africains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Exemple de Ouidah (Bénin).</w:t>
      </w:r>
    </w:p>
    <w:p w:rsidR="008F7C51" w:rsidRPr="008F7C51" w:rsidRDefault="008F7C51" w:rsidP="008F7C5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 xml:space="preserve">Lecture recommandée : </w:t>
      </w:r>
      <w:r w:rsidRPr="008F7C51">
        <w:rPr>
          <w:rFonts w:eastAsia="Times New Roman" w:cstheme="minorHAnsi"/>
          <w:i/>
          <w:iCs/>
          <w:sz w:val="24"/>
          <w:szCs w:val="24"/>
          <w:lang w:eastAsia="fr-FR"/>
        </w:rPr>
        <w:t>Là où les nègres sont maîtres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de Randy Sparks.</w:t>
      </w:r>
    </w:p>
    <w:p w:rsidR="008F7C51" w:rsidRPr="008F7C51" w:rsidRDefault="008F7C51" w:rsidP="008F7C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Cas d’étude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 xml:space="preserve">Un courtier africain : l’exemple de Tati </w:t>
      </w:r>
      <w:proofErr w:type="spellStart"/>
      <w:r w:rsidRPr="008F7C51">
        <w:rPr>
          <w:rFonts w:eastAsia="Times New Roman" w:cstheme="minorHAnsi"/>
          <w:sz w:val="24"/>
          <w:szCs w:val="24"/>
          <w:lang w:eastAsia="fr-FR"/>
        </w:rPr>
        <w:t>Desponts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>.</w:t>
      </w:r>
    </w:p>
    <w:p w:rsidR="008F7C51" w:rsidRPr="008F7C51" w:rsidRDefault="008F7C51" w:rsidP="008F7C5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proofErr w:type="spellStart"/>
      <w:r w:rsidRPr="008F7C51">
        <w:rPr>
          <w:rFonts w:eastAsia="Times New Roman" w:cstheme="minorHAnsi"/>
          <w:sz w:val="24"/>
          <w:szCs w:val="24"/>
          <w:lang w:eastAsia="fr-FR"/>
        </w:rPr>
        <w:t>Malembe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>.</w:t>
      </w:r>
    </w:p>
    <w:p w:rsidR="008F7C51" w:rsidRPr="008F7C51" w:rsidRDefault="008F7C51" w:rsidP="008F7C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Ressources supplémentaires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 xml:space="preserve">Notice de Guy </w:t>
      </w:r>
      <w:proofErr w:type="spellStart"/>
      <w:r w:rsidRPr="008F7C51">
        <w:rPr>
          <w:rFonts w:eastAsia="Times New Roman" w:cstheme="minorHAnsi"/>
          <w:sz w:val="24"/>
          <w:szCs w:val="24"/>
          <w:lang w:eastAsia="fr-FR"/>
        </w:rPr>
        <w:t>Saupin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 xml:space="preserve"> (</w:t>
      </w:r>
      <w:r w:rsidRPr="008F7C51">
        <w:rPr>
          <w:rFonts w:eastAsia="Times New Roman" w:cstheme="minorHAnsi"/>
          <w:i/>
          <w:iCs/>
          <w:sz w:val="24"/>
          <w:szCs w:val="24"/>
          <w:lang w:eastAsia="fr-FR"/>
        </w:rPr>
        <w:t>MANIFEST</w:t>
      </w:r>
      <w:r w:rsidRPr="008F7C51">
        <w:rPr>
          <w:rFonts w:eastAsia="Times New Roman" w:cstheme="minorHAnsi"/>
          <w:sz w:val="24"/>
          <w:szCs w:val="24"/>
          <w:lang w:eastAsia="fr-FR"/>
        </w:rPr>
        <w:t>).</w:t>
      </w:r>
    </w:p>
    <w:p w:rsidR="008F7C51" w:rsidRPr="008F7C51" w:rsidRDefault="008F7C51" w:rsidP="008F7C5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 xml:space="preserve">Vidéo : </w:t>
      </w:r>
      <w:r w:rsidRPr="008F7C51">
        <w:rPr>
          <w:rFonts w:eastAsia="Times New Roman" w:cstheme="minorHAnsi"/>
          <w:i/>
          <w:iCs/>
          <w:sz w:val="24"/>
          <w:szCs w:val="24"/>
          <w:lang w:eastAsia="fr-FR"/>
        </w:rPr>
        <w:t>L’histoire en images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(AD44, 2022, CRHIA).</w:t>
      </w:r>
    </w:p>
    <w:p w:rsidR="008F7C51" w:rsidRPr="008F7C51" w:rsidRDefault="008F7C51" w:rsidP="008F7C5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fr-FR"/>
        </w:rPr>
      </w:pPr>
      <w:r w:rsidRPr="008F7C51">
        <w:rPr>
          <w:rFonts w:eastAsia="Times New Roman" w:cstheme="minorHAnsi"/>
          <w:b/>
          <w:bCs/>
          <w:sz w:val="36"/>
          <w:szCs w:val="36"/>
          <w:lang w:eastAsia="fr-FR"/>
        </w:rPr>
        <w:t>3. La nécessité d’élargir la focale</w:t>
      </w:r>
    </w:p>
    <w:p w:rsidR="008F7C51" w:rsidRPr="008F7C51" w:rsidRDefault="008F7C51" w:rsidP="008F7C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Ports de traite et hinterlands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Une économie coloniale esclavagiste.</w:t>
      </w:r>
    </w:p>
    <w:p w:rsidR="008F7C51" w:rsidRPr="008F7C51" w:rsidRDefault="008F7C51" w:rsidP="008F7C5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Hiérarchie des ports impliqués.</w:t>
      </w:r>
    </w:p>
    <w:p w:rsidR="008F7C51" w:rsidRPr="008F7C51" w:rsidRDefault="008F7C51" w:rsidP="008F7C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Lectures recommandées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i/>
          <w:iCs/>
          <w:sz w:val="24"/>
          <w:szCs w:val="24"/>
          <w:lang w:eastAsia="fr-FR"/>
        </w:rPr>
        <w:t>La Loire et le commerce atlantique</w:t>
      </w:r>
      <w:r w:rsidRPr="008F7C51">
        <w:rPr>
          <w:rFonts w:eastAsia="Times New Roman" w:cstheme="minorHAnsi"/>
          <w:sz w:val="24"/>
          <w:szCs w:val="24"/>
          <w:lang w:eastAsia="fr-FR"/>
        </w:rPr>
        <w:t>.</w:t>
      </w:r>
    </w:p>
    <w:p w:rsidR="008F7C51" w:rsidRPr="008F7C51" w:rsidRDefault="008F7C51" w:rsidP="008F7C5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i/>
          <w:iCs/>
          <w:sz w:val="24"/>
          <w:szCs w:val="24"/>
          <w:lang w:eastAsia="fr-FR"/>
        </w:rPr>
        <w:t>L’arrière-pays nantais au XVIIIe siècle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de G. Le </w:t>
      </w:r>
      <w:proofErr w:type="spellStart"/>
      <w:r w:rsidRPr="008F7C51">
        <w:rPr>
          <w:rFonts w:eastAsia="Times New Roman" w:cstheme="minorHAnsi"/>
          <w:sz w:val="24"/>
          <w:szCs w:val="24"/>
          <w:lang w:eastAsia="fr-FR"/>
        </w:rPr>
        <w:t>Bouëdec</w:t>
      </w:r>
      <w:proofErr w:type="spellEnd"/>
      <w:r w:rsidRPr="008F7C51">
        <w:rPr>
          <w:rFonts w:eastAsia="Times New Roman" w:cstheme="minorHAnsi"/>
          <w:sz w:val="24"/>
          <w:szCs w:val="24"/>
          <w:lang w:eastAsia="fr-FR"/>
        </w:rPr>
        <w:t>.</w:t>
      </w:r>
    </w:p>
    <w:p w:rsidR="008F7C51" w:rsidRPr="008F7C51" w:rsidRDefault="008F7C51" w:rsidP="008F7C5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b/>
          <w:bCs/>
          <w:sz w:val="24"/>
          <w:szCs w:val="24"/>
          <w:lang w:eastAsia="fr-FR"/>
        </w:rPr>
        <w:t>Produits d’échange</w:t>
      </w:r>
      <w:r w:rsidRPr="008F7C51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8F7C51" w:rsidRPr="008F7C51" w:rsidRDefault="008F7C51" w:rsidP="008F7C5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F7C51">
        <w:rPr>
          <w:rFonts w:eastAsia="Times New Roman" w:cstheme="minorHAnsi"/>
          <w:sz w:val="24"/>
          <w:szCs w:val="24"/>
          <w:lang w:eastAsia="fr-FR"/>
        </w:rPr>
        <w:t>Tabac, sucre, café, chocolat, coton, indigo.</w:t>
      </w:r>
    </w:p>
    <w:p w:rsidR="008F7C51" w:rsidRPr="008F7C51" w:rsidRDefault="008F7C51">
      <w:pPr>
        <w:rPr>
          <w:rFonts w:cstheme="minorHAnsi"/>
        </w:rPr>
      </w:pPr>
    </w:p>
    <w:sectPr w:rsidR="008F7C51" w:rsidRPr="008F7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939B3"/>
    <w:multiLevelType w:val="multilevel"/>
    <w:tmpl w:val="B1CA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063B2"/>
    <w:multiLevelType w:val="multilevel"/>
    <w:tmpl w:val="BEB0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B1AA7"/>
    <w:multiLevelType w:val="multilevel"/>
    <w:tmpl w:val="458E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311CE8"/>
    <w:multiLevelType w:val="multilevel"/>
    <w:tmpl w:val="3A98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835BD9"/>
    <w:multiLevelType w:val="multilevel"/>
    <w:tmpl w:val="B2FA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270C5B"/>
    <w:multiLevelType w:val="hybridMultilevel"/>
    <w:tmpl w:val="AE22C7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062E3"/>
    <w:multiLevelType w:val="multilevel"/>
    <w:tmpl w:val="C5E0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A7A"/>
    <w:rsid w:val="000442DD"/>
    <w:rsid w:val="000E07B2"/>
    <w:rsid w:val="00102369"/>
    <w:rsid w:val="00296516"/>
    <w:rsid w:val="0030612C"/>
    <w:rsid w:val="003D158D"/>
    <w:rsid w:val="007D4952"/>
    <w:rsid w:val="007E6ED7"/>
    <w:rsid w:val="00874A7A"/>
    <w:rsid w:val="008F7C51"/>
    <w:rsid w:val="009F6408"/>
    <w:rsid w:val="00A50328"/>
    <w:rsid w:val="00A80782"/>
    <w:rsid w:val="00BE1693"/>
    <w:rsid w:val="00CC0108"/>
    <w:rsid w:val="00CE43DB"/>
    <w:rsid w:val="00D50C55"/>
    <w:rsid w:val="00D6139D"/>
    <w:rsid w:val="00DC7D28"/>
    <w:rsid w:val="00F0072D"/>
    <w:rsid w:val="00F5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6B309-8CC2-44E7-93ED-5E11CC30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F7C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8F7C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8F7C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612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F7C5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8F7C5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8F7C5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F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F7C51"/>
    <w:rPr>
      <w:b/>
      <w:bCs/>
    </w:rPr>
  </w:style>
  <w:style w:type="character" w:styleId="Accentuation">
    <w:name w:val="Emphasis"/>
    <w:basedOn w:val="Policepardfaut"/>
    <w:uiPriority w:val="20"/>
    <w:qFormat/>
    <w:rsid w:val="008F7C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15</cp:revision>
  <dcterms:created xsi:type="dcterms:W3CDTF">2024-12-13T17:28:00Z</dcterms:created>
  <dcterms:modified xsi:type="dcterms:W3CDTF">2025-01-06T09:49:00Z</dcterms:modified>
</cp:coreProperties>
</file>