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C8" w:rsidRDefault="00B636C8"/>
    <w:tbl>
      <w:tblPr>
        <w:tblStyle w:val="Grilledutableau"/>
        <w:tblW w:w="15471" w:type="dxa"/>
        <w:tblLook w:val="04A0" w:firstRow="1" w:lastRow="0" w:firstColumn="1" w:lastColumn="0" w:noHBand="0" w:noVBand="1"/>
      </w:tblPr>
      <w:tblGrid>
        <w:gridCol w:w="3867"/>
        <w:gridCol w:w="3867"/>
        <w:gridCol w:w="3867"/>
        <w:gridCol w:w="3870"/>
      </w:tblGrid>
      <w:tr w:rsidR="00B636C8" w:rsidTr="00904712">
        <w:trPr>
          <w:trHeight w:val="319"/>
        </w:trPr>
        <w:tc>
          <w:tcPr>
            <w:tcW w:w="15471" w:type="dxa"/>
            <w:gridSpan w:val="4"/>
          </w:tcPr>
          <w:p w:rsidR="006076C3" w:rsidRDefault="009D2ACE" w:rsidP="0090471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D2ACE">
              <w:rPr>
                <w:rFonts w:ascii="Arial" w:hAnsi="Arial" w:cs="Arial"/>
                <w:sz w:val="28"/>
                <w:szCs w:val="28"/>
              </w:rPr>
              <w:t>Cycle 4 - Œuvres de référence</w:t>
            </w:r>
            <w:r w:rsidR="00A12FB7" w:rsidRPr="0096468B">
              <w:rPr>
                <w:rFonts w:ascii="Arial" w:hAnsi="Arial" w:cs="Arial"/>
                <w:sz w:val="28"/>
                <w:szCs w:val="28"/>
              </w:rPr>
              <w:t xml:space="preserve">- Question </w:t>
            </w:r>
            <w:r w:rsidR="009C264E">
              <w:rPr>
                <w:rFonts w:ascii="Arial" w:hAnsi="Arial" w:cs="Arial"/>
                <w:sz w:val="28"/>
                <w:szCs w:val="28"/>
              </w:rPr>
              <w:t>1</w:t>
            </w:r>
            <w:r w:rsidRPr="009D2AC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9D2ACE" w:rsidRPr="00904712" w:rsidRDefault="00D10DA7" w:rsidP="0090471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10DA7">
              <w:rPr>
                <w:rFonts w:ascii="Arial" w:hAnsi="Arial" w:cs="Arial"/>
                <w:b/>
                <w:sz w:val="28"/>
                <w:szCs w:val="28"/>
              </w:rPr>
              <w:t>La représentation ; images, réalité et fiction</w:t>
            </w:r>
          </w:p>
        </w:tc>
      </w:tr>
      <w:tr w:rsidR="009D2ACE" w:rsidTr="00CA2488">
        <w:trPr>
          <w:trHeight w:val="538"/>
        </w:trPr>
        <w:tc>
          <w:tcPr>
            <w:tcW w:w="15471" w:type="dxa"/>
            <w:gridSpan w:val="4"/>
            <w:shd w:val="clear" w:color="auto" w:fill="F2F2F2" w:themeFill="background1" w:themeFillShade="F2"/>
          </w:tcPr>
          <w:p w:rsidR="009D2ACE" w:rsidRDefault="00D10DA7" w:rsidP="00D10DA7">
            <w:r w:rsidRPr="00D10DA7">
              <w:rPr>
                <w:b/>
              </w:rPr>
              <w:t>La ressemblance</w:t>
            </w:r>
            <w:r>
              <w:t xml:space="preserve"> : le rapport au réel et la valeur expressive de l'écart en art ; les images artistiques et leur rapport à la fiction, notamment la différence entre ressemblance et vraisemblance.</w:t>
            </w:r>
          </w:p>
        </w:tc>
      </w:tr>
      <w:tr w:rsidR="00B636C8" w:rsidTr="00904712">
        <w:trPr>
          <w:trHeight w:val="791"/>
        </w:trPr>
        <w:tc>
          <w:tcPr>
            <w:tcW w:w="3867" w:type="dxa"/>
          </w:tcPr>
          <w:p w:rsidR="009D2ACE" w:rsidRDefault="000778BB">
            <w:r>
              <w:t xml:space="preserve">Rembrandt, </w:t>
            </w:r>
            <w:r w:rsidRPr="000778BB">
              <w:rPr>
                <w:i/>
              </w:rPr>
              <w:t>autoportrait aux yeux hagards, 1630</w:t>
            </w:r>
          </w:p>
        </w:tc>
        <w:tc>
          <w:tcPr>
            <w:tcW w:w="3867" w:type="dxa"/>
          </w:tcPr>
          <w:p w:rsidR="00B636C8" w:rsidRDefault="00B636C8"/>
        </w:tc>
        <w:tc>
          <w:tcPr>
            <w:tcW w:w="3867" w:type="dxa"/>
          </w:tcPr>
          <w:p w:rsidR="00B636C8" w:rsidRDefault="00B636C8"/>
        </w:tc>
        <w:tc>
          <w:tcPr>
            <w:tcW w:w="3869" w:type="dxa"/>
          </w:tcPr>
          <w:p w:rsidR="00B636C8" w:rsidRDefault="00B636C8"/>
        </w:tc>
      </w:tr>
      <w:tr w:rsidR="009D2ACE" w:rsidTr="00CA2488">
        <w:trPr>
          <w:trHeight w:val="538"/>
        </w:trPr>
        <w:tc>
          <w:tcPr>
            <w:tcW w:w="15471" w:type="dxa"/>
            <w:gridSpan w:val="4"/>
            <w:shd w:val="clear" w:color="auto" w:fill="F2F2F2" w:themeFill="background1" w:themeFillShade="F2"/>
          </w:tcPr>
          <w:p w:rsidR="00D10DA7" w:rsidRDefault="00D10DA7" w:rsidP="00D10DA7">
            <w:r w:rsidRPr="00D10DA7">
              <w:rPr>
                <w:b/>
              </w:rPr>
              <w:t>Le dispositif de représentation</w:t>
            </w:r>
            <w:r>
              <w:t xml:space="preserve"> : l'espace en deux dimensions (littéral et suggéré), la différence entre organisation et composition ; l'espace en trois dimensions</w:t>
            </w:r>
          </w:p>
          <w:p w:rsidR="009D2ACE" w:rsidRDefault="00D10DA7" w:rsidP="00D10DA7">
            <w:r>
              <w:t>(différence entre structure, construction et installation), l'intervention sur le lieu, l’installation.</w:t>
            </w:r>
          </w:p>
        </w:tc>
      </w:tr>
      <w:tr w:rsidR="00B636C8" w:rsidTr="00904712">
        <w:trPr>
          <w:trHeight w:val="808"/>
        </w:trPr>
        <w:tc>
          <w:tcPr>
            <w:tcW w:w="3867" w:type="dxa"/>
          </w:tcPr>
          <w:p w:rsidR="00904712" w:rsidRDefault="000778BB" w:rsidP="00D10DA7">
            <w:r>
              <w:t>Raphaël</w:t>
            </w:r>
            <w:r w:rsidRPr="000778BB">
              <w:rPr>
                <w:i/>
              </w:rPr>
              <w:t xml:space="preserve">, </w:t>
            </w:r>
            <w:r w:rsidR="00D10DA7" w:rsidRPr="000778BB">
              <w:rPr>
                <w:i/>
              </w:rPr>
              <w:t>l'</w:t>
            </w:r>
            <w:r w:rsidRPr="000778BB">
              <w:rPr>
                <w:i/>
              </w:rPr>
              <w:t>école d'Athènes</w:t>
            </w:r>
            <w:r w:rsidR="00D10DA7" w:rsidRPr="000778BB">
              <w:rPr>
                <w:i/>
              </w:rPr>
              <w:t>, 1509/1512, fre</w:t>
            </w:r>
            <w:r w:rsidRPr="000778BB">
              <w:rPr>
                <w:i/>
              </w:rPr>
              <w:t>sque,</w:t>
            </w:r>
            <w:r w:rsidR="00D10DA7" w:rsidRPr="000778BB">
              <w:rPr>
                <w:i/>
              </w:rPr>
              <w:t xml:space="preserve"> Vatican</w:t>
            </w:r>
          </w:p>
        </w:tc>
        <w:tc>
          <w:tcPr>
            <w:tcW w:w="3867" w:type="dxa"/>
          </w:tcPr>
          <w:p w:rsidR="00B636C8" w:rsidRDefault="000778BB">
            <w:r>
              <w:t xml:space="preserve">Matisse, </w:t>
            </w:r>
            <w:r w:rsidRPr="000778BB">
              <w:rPr>
                <w:i/>
              </w:rPr>
              <w:t>nature morte aux aubergines, 1911</w:t>
            </w:r>
          </w:p>
        </w:tc>
        <w:tc>
          <w:tcPr>
            <w:tcW w:w="3867" w:type="dxa"/>
          </w:tcPr>
          <w:p w:rsidR="00B636C8" w:rsidRDefault="00B636C8" w:rsidP="000778BB"/>
        </w:tc>
        <w:tc>
          <w:tcPr>
            <w:tcW w:w="3869" w:type="dxa"/>
          </w:tcPr>
          <w:p w:rsidR="00B636C8" w:rsidRDefault="000778BB" w:rsidP="0091739C">
            <w:pPr>
              <w:autoSpaceDE w:val="0"/>
              <w:autoSpaceDN w:val="0"/>
              <w:adjustRightInd w:val="0"/>
            </w:pPr>
            <w:r>
              <w:t xml:space="preserve">Daniel Buren, </w:t>
            </w:r>
            <w:r w:rsidR="0091739C" w:rsidRPr="0091739C">
              <w:rPr>
                <w:i/>
              </w:rPr>
              <w:t xml:space="preserve">dominant-dominé, 1991 </w:t>
            </w:r>
            <w:proofErr w:type="spellStart"/>
            <w:r w:rsidR="0091739C" w:rsidRPr="0091739C">
              <w:rPr>
                <w:i/>
              </w:rPr>
              <w:t>capc</w:t>
            </w:r>
            <w:proofErr w:type="spellEnd"/>
            <w:r w:rsidR="0091739C" w:rsidRPr="0091739C">
              <w:rPr>
                <w:i/>
              </w:rPr>
              <w:t xml:space="preserve"> Bordeaux</w:t>
            </w:r>
          </w:p>
        </w:tc>
      </w:tr>
      <w:tr w:rsidR="009D2ACE" w:rsidTr="00CA2488">
        <w:trPr>
          <w:trHeight w:val="521"/>
        </w:trPr>
        <w:tc>
          <w:tcPr>
            <w:tcW w:w="15471" w:type="dxa"/>
            <w:gridSpan w:val="4"/>
            <w:shd w:val="clear" w:color="auto" w:fill="F2F2F2" w:themeFill="background1" w:themeFillShade="F2"/>
          </w:tcPr>
          <w:p w:rsidR="009D2ACE" w:rsidRDefault="00D10DA7" w:rsidP="00D10DA7">
            <w:r w:rsidRPr="00D10DA7">
              <w:rPr>
                <w:b/>
              </w:rPr>
              <w:t>La narration visuelle</w:t>
            </w:r>
            <w:r>
              <w:t xml:space="preserve"> : mouvement et temporalité suggérés ou réels, dispositif séquentiel et dimension temporelle, durée, vitesse, rythme, montage, découpage, ellipse...</w:t>
            </w:r>
          </w:p>
        </w:tc>
      </w:tr>
      <w:tr w:rsidR="009D2ACE" w:rsidTr="00904712">
        <w:trPr>
          <w:trHeight w:val="808"/>
        </w:trPr>
        <w:tc>
          <w:tcPr>
            <w:tcW w:w="3867" w:type="dxa"/>
          </w:tcPr>
          <w:p w:rsidR="00904712" w:rsidRDefault="00D10DA7" w:rsidP="004F71AB">
            <w:r>
              <w:t>La tapisserie de Bayeux, entre 1066 et 1082</w:t>
            </w:r>
          </w:p>
        </w:tc>
        <w:tc>
          <w:tcPr>
            <w:tcW w:w="3867" w:type="dxa"/>
          </w:tcPr>
          <w:p w:rsidR="009D2ACE" w:rsidRDefault="009D2ACE" w:rsidP="00CA2488"/>
        </w:tc>
        <w:tc>
          <w:tcPr>
            <w:tcW w:w="3867" w:type="dxa"/>
          </w:tcPr>
          <w:p w:rsidR="009D2ACE" w:rsidRDefault="00D10DA7" w:rsidP="004F71AB">
            <w:r>
              <w:t xml:space="preserve">Méliès, </w:t>
            </w:r>
            <w:r w:rsidRPr="00E952EE">
              <w:rPr>
                <w:i/>
              </w:rPr>
              <w:t>le voyage dans la lune, 1902</w:t>
            </w:r>
          </w:p>
        </w:tc>
        <w:tc>
          <w:tcPr>
            <w:tcW w:w="3869" w:type="dxa"/>
          </w:tcPr>
          <w:p w:rsidR="009D2ACE" w:rsidRPr="00E952EE" w:rsidRDefault="00E952EE" w:rsidP="004F71AB">
            <w:pPr>
              <w:rPr>
                <w:i/>
              </w:rPr>
            </w:pPr>
            <w:proofErr w:type="spellStart"/>
            <w:r w:rsidRPr="00E952EE">
              <w:rPr>
                <w:rStyle w:val="Accentuation"/>
                <w:i w:val="0"/>
              </w:rPr>
              <w:t>Fischli</w:t>
            </w:r>
            <w:proofErr w:type="spellEnd"/>
            <w:r w:rsidRPr="00E952EE">
              <w:rPr>
                <w:rStyle w:val="st"/>
                <w:i/>
              </w:rPr>
              <w:t xml:space="preserve"> et </w:t>
            </w:r>
            <w:r w:rsidRPr="00E952EE">
              <w:rPr>
                <w:rStyle w:val="Accentuation"/>
                <w:i w:val="0"/>
              </w:rPr>
              <w:t>Weiss</w:t>
            </w:r>
            <w:r w:rsidRPr="00E952EE">
              <w:rPr>
                <w:rStyle w:val="Accentuation"/>
                <w:i w:val="0"/>
              </w:rPr>
              <w:t xml:space="preserve">, </w:t>
            </w:r>
            <w:r w:rsidRPr="00E952EE">
              <w:rPr>
                <w:i/>
              </w:rPr>
              <w:t>Le cours des choses, 1987</w:t>
            </w:r>
          </w:p>
        </w:tc>
      </w:tr>
      <w:tr w:rsidR="009D2ACE" w:rsidTr="00CA2488">
        <w:trPr>
          <w:trHeight w:val="538"/>
        </w:trPr>
        <w:tc>
          <w:tcPr>
            <w:tcW w:w="15471" w:type="dxa"/>
            <w:gridSpan w:val="4"/>
            <w:shd w:val="clear" w:color="auto" w:fill="F2F2F2" w:themeFill="background1" w:themeFillShade="F2"/>
          </w:tcPr>
          <w:p w:rsidR="009D2ACE" w:rsidRDefault="00D10DA7" w:rsidP="00D10DA7">
            <w:r w:rsidRPr="00D10DA7">
              <w:rPr>
                <w:b/>
              </w:rPr>
              <w:t xml:space="preserve">L'autonomie de l'œuvre d'art, les modalités de son </w:t>
            </w:r>
            <w:proofErr w:type="spellStart"/>
            <w:r w:rsidRPr="00D10DA7">
              <w:rPr>
                <w:b/>
              </w:rPr>
              <w:t>autoréférenciation</w:t>
            </w:r>
            <w:proofErr w:type="spellEnd"/>
            <w:r>
              <w:t xml:space="preserve"> : l'autonomie de l'œuvre vis-à-vis du monde visible ; inclusion ou mise en abyme de ses propres constituants ; art abstrait, informel, concret...</w:t>
            </w:r>
          </w:p>
        </w:tc>
      </w:tr>
      <w:tr w:rsidR="009D2ACE" w:rsidTr="00904712">
        <w:trPr>
          <w:trHeight w:val="1060"/>
        </w:trPr>
        <w:tc>
          <w:tcPr>
            <w:tcW w:w="3867" w:type="dxa"/>
          </w:tcPr>
          <w:p w:rsidR="00904712" w:rsidRDefault="00904712" w:rsidP="004F71AB"/>
        </w:tc>
        <w:tc>
          <w:tcPr>
            <w:tcW w:w="3867" w:type="dxa"/>
          </w:tcPr>
          <w:p w:rsidR="009D2ACE" w:rsidRDefault="009D2ACE" w:rsidP="004F71AB"/>
        </w:tc>
        <w:tc>
          <w:tcPr>
            <w:tcW w:w="3867" w:type="dxa"/>
          </w:tcPr>
          <w:p w:rsidR="009D2ACE" w:rsidRDefault="00D10DA7" w:rsidP="004F71AB">
            <w:r>
              <w:t xml:space="preserve">Jackson Pollock, </w:t>
            </w:r>
            <w:proofErr w:type="spellStart"/>
            <w:r w:rsidRPr="00D10DA7">
              <w:rPr>
                <w:i/>
              </w:rPr>
              <w:t>Autumn</w:t>
            </w:r>
            <w:proofErr w:type="spellEnd"/>
            <w:r w:rsidRPr="00D10DA7">
              <w:rPr>
                <w:i/>
              </w:rPr>
              <w:t xml:space="preserve"> </w:t>
            </w:r>
            <w:proofErr w:type="spellStart"/>
            <w:r w:rsidRPr="00D10DA7">
              <w:rPr>
                <w:i/>
              </w:rPr>
              <w:t>rythm</w:t>
            </w:r>
            <w:proofErr w:type="spellEnd"/>
            <w:r w:rsidRPr="00D10DA7">
              <w:rPr>
                <w:i/>
              </w:rPr>
              <w:t>, 1950</w:t>
            </w:r>
          </w:p>
        </w:tc>
        <w:tc>
          <w:tcPr>
            <w:tcW w:w="3869" w:type="dxa"/>
          </w:tcPr>
          <w:p w:rsidR="009D2ACE" w:rsidRDefault="000778BB" w:rsidP="004F71AB">
            <w:r>
              <w:t xml:space="preserve">Warhol, </w:t>
            </w:r>
            <w:r w:rsidRPr="000778BB">
              <w:rPr>
                <w:i/>
              </w:rPr>
              <w:t>Marilyn, 1962</w:t>
            </w:r>
          </w:p>
        </w:tc>
      </w:tr>
      <w:tr w:rsidR="009D2ACE" w:rsidTr="00CA2488">
        <w:trPr>
          <w:trHeight w:val="269"/>
        </w:trPr>
        <w:tc>
          <w:tcPr>
            <w:tcW w:w="15471" w:type="dxa"/>
            <w:gridSpan w:val="4"/>
            <w:shd w:val="clear" w:color="auto" w:fill="F2F2F2" w:themeFill="background1" w:themeFillShade="F2"/>
          </w:tcPr>
          <w:p w:rsidR="009D2ACE" w:rsidRDefault="00D10DA7" w:rsidP="00D10DA7">
            <w:r w:rsidRPr="00D10DA7">
              <w:rPr>
                <w:b/>
              </w:rPr>
              <w:t>La création, la matérialité, le statut, la signification des images</w:t>
            </w:r>
            <w:r>
              <w:t xml:space="preserve"> : l'appréhension et la compréhension de la diversité des images ; leurs propriétés plastiques, iconiques, sémantiques, symboliques ; les différences d'intention entre expression artistique et communication visuelle, entre œuvre et image d'œuvre.</w:t>
            </w:r>
          </w:p>
        </w:tc>
      </w:tr>
      <w:tr w:rsidR="009D2ACE" w:rsidTr="00904712">
        <w:trPr>
          <w:trHeight w:val="1077"/>
        </w:trPr>
        <w:tc>
          <w:tcPr>
            <w:tcW w:w="3867" w:type="dxa"/>
          </w:tcPr>
          <w:p w:rsidR="00904712" w:rsidRDefault="00D10DA7" w:rsidP="004F71AB">
            <w:r>
              <w:t>Vermeer</w:t>
            </w:r>
            <w:r w:rsidRPr="00D10DA7">
              <w:rPr>
                <w:i/>
              </w:rPr>
              <w:t>, La laitière, 1657–1658</w:t>
            </w:r>
          </w:p>
        </w:tc>
        <w:tc>
          <w:tcPr>
            <w:tcW w:w="3867" w:type="dxa"/>
          </w:tcPr>
          <w:p w:rsidR="009D2ACE" w:rsidRDefault="00D10DA7" w:rsidP="00D10DA7">
            <w:r w:rsidRPr="00D10DA7">
              <w:t>Hyacinthe Rigaud</w:t>
            </w:r>
            <w:r>
              <w:t xml:space="preserve">, </w:t>
            </w:r>
            <w:r>
              <w:rPr>
                <w:i/>
              </w:rPr>
              <w:t>P</w:t>
            </w:r>
            <w:r w:rsidRPr="00D10DA7">
              <w:rPr>
                <w:i/>
              </w:rPr>
              <w:t>ortrait de Louis XIV en costume de sacre, 1701</w:t>
            </w:r>
          </w:p>
        </w:tc>
        <w:tc>
          <w:tcPr>
            <w:tcW w:w="3867" w:type="dxa"/>
          </w:tcPr>
          <w:p w:rsidR="009D2ACE" w:rsidRDefault="00D10DA7" w:rsidP="00D10DA7">
            <w:r>
              <w:t xml:space="preserve">Jacques-Louis David, </w:t>
            </w:r>
            <w:r w:rsidRPr="00D10DA7">
              <w:rPr>
                <w:i/>
              </w:rPr>
              <w:t>Le</w:t>
            </w:r>
            <w:r>
              <w:rPr>
                <w:i/>
              </w:rPr>
              <w:t xml:space="preserve"> sacre de Napoléon</w:t>
            </w:r>
            <w:r w:rsidRPr="00D10DA7">
              <w:rPr>
                <w:i/>
              </w:rPr>
              <w:t>, 1806.</w:t>
            </w:r>
          </w:p>
        </w:tc>
        <w:tc>
          <w:tcPr>
            <w:tcW w:w="3869" w:type="dxa"/>
          </w:tcPr>
          <w:p w:rsidR="009D2ACE" w:rsidRDefault="009D2ACE" w:rsidP="00FC407F"/>
        </w:tc>
      </w:tr>
      <w:tr w:rsidR="009D2ACE" w:rsidTr="00D10DA7">
        <w:trPr>
          <w:trHeight w:val="641"/>
        </w:trPr>
        <w:tc>
          <w:tcPr>
            <w:tcW w:w="15471" w:type="dxa"/>
            <w:gridSpan w:val="4"/>
            <w:shd w:val="clear" w:color="auto" w:fill="F2F2F2" w:themeFill="background1" w:themeFillShade="F2"/>
          </w:tcPr>
          <w:p w:rsidR="009D2ACE" w:rsidRDefault="00D10DA7" w:rsidP="00D10DA7">
            <w:r w:rsidRPr="00D10DA7">
              <w:rPr>
                <w:b/>
              </w:rPr>
              <w:t>La conception, la production et la diffusion de l'œuvre plastique à l'ère du numérique</w:t>
            </w:r>
            <w:r>
              <w:t xml:space="preserve"> : les incidences du numérique sur la création des images fixes et animées, sur les pratiques plastiques en deux et en trois dimensions ; les relations entre intentions artistiques, médiums de la pratique plastique, codes et outils numériques.</w:t>
            </w:r>
          </w:p>
        </w:tc>
      </w:tr>
      <w:tr w:rsidR="009D2ACE" w:rsidTr="00904712">
        <w:trPr>
          <w:trHeight w:val="1060"/>
        </w:trPr>
        <w:tc>
          <w:tcPr>
            <w:tcW w:w="3867" w:type="dxa"/>
          </w:tcPr>
          <w:p w:rsidR="00904712" w:rsidRDefault="00904712" w:rsidP="004F71AB"/>
        </w:tc>
        <w:tc>
          <w:tcPr>
            <w:tcW w:w="3867" w:type="dxa"/>
          </w:tcPr>
          <w:p w:rsidR="009D2ACE" w:rsidRDefault="009D2ACE" w:rsidP="004F71AB"/>
        </w:tc>
        <w:tc>
          <w:tcPr>
            <w:tcW w:w="3867" w:type="dxa"/>
          </w:tcPr>
          <w:p w:rsidR="009D2ACE" w:rsidRDefault="009D2ACE" w:rsidP="004F71AB">
            <w:bookmarkStart w:id="0" w:name="_GoBack"/>
            <w:bookmarkEnd w:id="0"/>
          </w:p>
        </w:tc>
        <w:tc>
          <w:tcPr>
            <w:tcW w:w="3869" w:type="dxa"/>
          </w:tcPr>
          <w:p w:rsidR="009D2ACE" w:rsidRDefault="00E952EE" w:rsidP="004F71AB">
            <w:r>
              <w:t xml:space="preserve">Sam Taylor Wood, </w:t>
            </w:r>
            <w:proofErr w:type="spellStart"/>
            <w:r w:rsidRPr="00E952EE">
              <w:rPr>
                <w:i/>
              </w:rPr>
              <w:t>Still</w:t>
            </w:r>
            <w:proofErr w:type="spellEnd"/>
            <w:r w:rsidRPr="00E952EE">
              <w:rPr>
                <w:i/>
              </w:rPr>
              <w:t xml:space="preserve"> Life, 2001</w:t>
            </w:r>
          </w:p>
        </w:tc>
      </w:tr>
    </w:tbl>
    <w:p w:rsidR="009615E5" w:rsidRDefault="009615E5"/>
    <w:sectPr w:rsidR="009615E5" w:rsidSect="006076C3">
      <w:headerReference w:type="default" r:id="rId6"/>
      <w:pgSz w:w="16838" w:h="11906" w:orient="landscape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ADB" w:rsidRDefault="00622ADB" w:rsidP="00904712">
      <w:pPr>
        <w:spacing w:after="0" w:line="240" w:lineRule="auto"/>
      </w:pPr>
      <w:r>
        <w:separator/>
      </w:r>
    </w:p>
  </w:endnote>
  <w:endnote w:type="continuationSeparator" w:id="0">
    <w:p w:rsidR="00622ADB" w:rsidRDefault="00622ADB" w:rsidP="0090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ADB" w:rsidRDefault="00622ADB" w:rsidP="00904712">
      <w:pPr>
        <w:spacing w:after="0" w:line="240" w:lineRule="auto"/>
      </w:pPr>
      <w:r>
        <w:separator/>
      </w:r>
    </w:p>
  </w:footnote>
  <w:footnote w:type="continuationSeparator" w:id="0">
    <w:p w:rsidR="00622ADB" w:rsidRDefault="00622ADB" w:rsidP="0090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712" w:rsidRDefault="00904712" w:rsidP="006076C3">
    <w:pPr>
      <w:pStyle w:val="En-tte"/>
      <w:tabs>
        <w:tab w:val="clear" w:pos="4536"/>
        <w:tab w:val="clear" w:pos="9072"/>
        <w:tab w:val="left" w:pos="1440"/>
      </w:tabs>
      <w:jc w:val="center"/>
    </w:pPr>
    <w:r w:rsidRPr="00904712">
      <w:t xml:space="preserve">Fiche </w:t>
    </w:r>
    <w:r>
      <w:t xml:space="preserve">œuvres de référence </w:t>
    </w:r>
    <w:r w:rsidRPr="00904712">
      <w:t xml:space="preserve">arts plastiques – document de travail – formation disciplinaire </w:t>
    </w:r>
    <w:r w:rsidR="00E952EE" w:rsidRPr="00904712">
      <w:t>–</w:t>
    </w:r>
    <w:r w:rsidR="00E952EE">
      <w:t xml:space="preserve"> </w:t>
    </w:r>
    <w:r w:rsidR="00E952EE" w:rsidRPr="00904712">
      <w:t xml:space="preserve">Nantes </w:t>
    </w:r>
    <w:r w:rsidRPr="00904712">
      <w:t xml:space="preserve">– avril 2016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C8"/>
    <w:rsid w:val="00006E2F"/>
    <w:rsid w:val="000778BB"/>
    <w:rsid w:val="00317AD0"/>
    <w:rsid w:val="006076C3"/>
    <w:rsid w:val="00622ADB"/>
    <w:rsid w:val="00801B69"/>
    <w:rsid w:val="00867023"/>
    <w:rsid w:val="00904712"/>
    <w:rsid w:val="0091739C"/>
    <w:rsid w:val="009615E5"/>
    <w:rsid w:val="009C264E"/>
    <w:rsid w:val="009D2ACE"/>
    <w:rsid w:val="00A12FB7"/>
    <w:rsid w:val="00A66832"/>
    <w:rsid w:val="00B636C8"/>
    <w:rsid w:val="00CA2488"/>
    <w:rsid w:val="00D10DA7"/>
    <w:rsid w:val="00E952EE"/>
    <w:rsid w:val="00F24C29"/>
    <w:rsid w:val="00F7735A"/>
    <w:rsid w:val="00FC407F"/>
    <w:rsid w:val="00F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E5CA0C-8516-49E8-96D3-51F454CD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0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4712"/>
  </w:style>
  <w:style w:type="paragraph" w:styleId="Pieddepage">
    <w:name w:val="footer"/>
    <w:basedOn w:val="Normal"/>
    <w:link w:val="PieddepageCar"/>
    <w:uiPriority w:val="99"/>
    <w:unhideWhenUsed/>
    <w:rsid w:val="0090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4712"/>
  </w:style>
  <w:style w:type="character" w:customStyle="1" w:styleId="st">
    <w:name w:val="st"/>
    <w:basedOn w:val="Policepardfaut"/>
    <w:rsid w:val="00E952EE"/>
  </w:style>
  <w:style w:type="character" w:styleId="Accentuation">
    <w:name w:val="Emphasis"/>
    <w:basedOn w:val="Policepardfaut"/>
    <w:uiPriority w:val="20"/>
    <w:qFormat/>
    <w:rsid w:val="00E95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Rectorat</cp:lastModifiedBy>
  <cp:revision>7</cp:revision>
  <cp:lastPrinted>2016-05-08T13:52:00Z</cp:lastPrinted>
  <dcterms:created xsi:type="dcterms:W3CDTF">2016-05-08T07:54:00Z</dcterms:created>
  <dcterms:modified xsi:type="dcterms:W3CDTF">2016-05-08T13:57:00Z</dcterms:modified>
</cp:coreProperties>
</file>