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16" w:rsidRPr="00FE3104" w:rsidRDefault="00037D16">
      <w:r w:rsidRPr="00FE3104">
        <w:rPr>
          <w:b/>
          <w:sz w:val="28"/>
          <w:szCs w:val="28"/>
          <w:u w:val="single"/>
        </w:rPr>
        <w:t>Fiche synthétisant les différentes sortes de discriminations</w:t>
      </w:r>
      <w:r w:rsidR="00FE3104">
        <w:rPr>
          <w:b/>
          <w:sz w:val="28"/>
          <w:szCs w:val="28"/>
          <w:u w:val="single"/>
        </w:rPr>
        <w:t> </w:t>
      </w:r>
      <w:r w:rsidR="00FE3104">
        <w:rPr>
          <w:b/>
          <w:noProof/>
          <w:sz w:val="28"/>
          <w:szCs w:val="28"/>
          <w:u w:val="single"/>
          <w:lang w:eastAsia="fr-FR"/>
        </w:rPr>
        <w:t>:</w:t>
      </w:r>
      <w:r w:rsidRPr="00FE3104">
        <w:drawing>
          <wp:anchor distT="0" distB="0" distL="114300" distR="114300" simplePos="0" relativeHeight="251658240" behindDoc="1" locked="0" layoutInCell="1" allowOverlap="1" wp14:anchorId="26B26989" wp14:editId="258772FB">
            <wp:simplePos x="0" y="0"/>
            <wp:positionH relativeFrom="column">
              <wp:posOffset>154940</wp:posOffset>
            </wp:positionH>
            <wp:positionV relativeFrom="paragraph">
              <wp:posOffset>233680</wp:posOffset>
            </wp:positionV>
            <wp:extent cx="5715000" cy="8077200"/>
            <wp:effectExtent l="0" t="0" r="0" b="0"/>
            <wp:wrapTight wrapText="bothSides">
              <wp:wrapPolygon edited="0">
                <wp:start x="0" y="0"/>
                <wp:lineTo x="0" y="21549"/>
                <wp:lineTo x="21528" y="21549"/>
                <wp:lineTo x="21528" y="0"/>
                <wp:lineTo x="0" y="0"/>
              </wp:wrapPolygon>
            </wp:wrapTight>
            <wp:docPr id="1" name="Image 1" descr="https://pbs.twimg.com/media/COc3kUtWEAAEs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bs.twimg.com/media/COc3kUtWEAAEsX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D16" w:rsidRDefault="00037D16"/>
    <w:p w:rsidR="00037D16" w:rsidRDefault="00037D16"/>
    <w:p w:rsidR="00FA7755" w:rsidRPr="00FE3104" w:rsidRDefault="00FE3104">
      <w:pPr>
        <w:rPr>
          <w:b/>
          <w:sz w:val="28"/>
          <w:szCs w:val="28"/>
          <w:u w:val="single"/>
        </w:rPr>
      </w:pPr>
      <w:r w:rsidRPr="00FE3104">
        <w:rPr>
          <w:b/>
          <w:sz w:val="28"/>
          <w:szCs w:val="28"/>
          <w:u w:val="single"/>
        </w:rPr>
        <w:lastRenderedPageBreak/>
        <w:t>C</w:t>
      </w:r>
      <w:r w:rsidR="00ED1F6D" w:rsidRPr="00FE3104">
        <w:rPr>
          <w:b/>
          <w:sz w:val="28"/>
          <w:szCs w:val="28"/>
          <w:u w:val="single"/>
        </w:rPr>
        <w:t xml:space="preserve">lassement possible des </w:t>
      </w:r>
      <w:r w:rsidR="00037D16" w:rsidRPr="00FE3104">
        <w:rPr>
          <w:b/>
          <w:sz w:val="28"/>
          <w:szCs w:val="28"/>
          <w:u w:val="single"/>
        </w:rPr>
        <w:t xml:space="preserve">différentes discriminations </w:t>
      </w:r>
      <w:r w:rsidRPr="00FE3104">
        <w:rPr>
          <w:b/>
          <w:sz w:val="28"/>
          <w:szCs w:val="28"/>
          <w:u w:val="single"/>
        </w:rPr>
        <w:t>avec les élèves :</w:t>
      </w:r>
    </w:p>
    <w:tbl>
      <w:tblPr>
        <w:tblStyle w:val="Grilledutableau"/>
        <w:tblpPr w:leftFromText="141" w:rightFromText="141" w:vertAnchor="page" w:horzAnchor="margin" w:tblpY="2251"/>
        <w:tblW w:w="0" w:type="auto"/>
        <w:tblLook w:val="04A0" w:firstRow="1" w:lastRow="0" w:firstColumn="1" w:lastColumn="0" w:noHBand="0" w:noVBand="1"/>
      </w:tblPr>
      <w:tblGrid>
        <w:gridCol w:w="1833"/>
        <w:gridCol w:w="1822"/>
        <w:gridCol w:w="1816"/>
        <w:gridCol w:w="2062"/>
      </w:tblGrid>
      <w:tr w:rsidR="00037D16" w:rsidTr="00037D16">
        <w:tc>
          <w:tcPr>
            <w:tcW w:w="1833" w:type="dxa"/>
          </w:tcPr>
          <w:p w:rsidR="00037D16" w:rsidRPr="00AC6DA7" w:rsidRDefault="00037D16" w:rsidP="00037D16">
            <w:pPr>
              <w:rPr>
                <w:b/>
              </w:rPr>
            </w:pPr>
            <w:r w:rsidRPr="00AC6DA7">
              <w:rPr>
                <w:b/>
              </w:rPr>
              <w:t>Physique</w:t>
            </w:r>
            <w:r>
              <w:rPr>
                <w:b/>
              </w:rPr>
              <w:t>/Santé</w:t>
            </w:r>
          </w:p>
        </w:tc>
        <w:tc>
          <w:tcPr>
            <w:tcW w:w="1822" w:type="dxa"/>
          </w:tcPr>
          <w:p w:rsidR="00037D16" w:rsidRPr="00AC6DA7" w:rsidRDefault="00037D16" w:rsidP="00037D16">
            <w:pPr>
              <w:rPr>
                <w:b/>
              </w:rPr>
            </w:pPr>
            <w:r w:rsidRPr="00AC6DA7">
              <w:rPr>
                <w:b/>
              </w:rPr>
              <w:t>Origine</w:t>
            </w:r>
          </w:p>
        </w:tc>
        <w:tc>
          <w:tcPr>
            <w:tcW w:w="1816" w:type="dxa"/>
          </w:tcPr>
          <w:p w:rsidR="00037D16" w:rsidRPr="00AC6DA7" w:rsidRDefault="00037D16" w:rsidP="00037D16">
            <w:pPr>
              <w:rPr>
                <w:b/>
              </w:rPr>
            </w:pPr>
            <w:r w:rsidRPr="00AC6DA7">
              <w:rPr>
                <w:b/>
              </w:rPr>
              <w:t>Sexe</w:t>
            </w:r>
          </w:p>
        </w:tc>
        <w:tc>
          <w:tcPr>
            <w:tcW w:w="2062" w:type="dxa"/>
          </w:tcPr>
          <w:p w:rsidR="00037D16" w:rsidRPr="00AC6DA7" w:rsidRDefault="00037D16" w:rsidP="00037D16">
            <w:pPr>
              <w:rPr>
                <w:b/>
              </w:rPr>
            </w:pPr>
            <w:r w:rsidRPr="00AC6DA7">
              <w:rPr>
                <w:b/>
              </w:rPr>
              <w:t>Opinions/Croyances</w:t>
            </w:r>
          </w:p>
        </w:tc>
      </w:tr>
      <w:tr w:rsidR="00037D16" w:rsidTr="00037D16">
        <w:tc>
          <w:tcPr>
            <w:tcW w:w="1833" w:type="dxa"/>
          </w:tcPr>
          <w:p w:rsidR="00037D16" w:rsidRDefault="00037D16" w:rsidP="00037D16">
            <w:r>
              <w:t>L’appartenance physique</w:t>
            </w:r>
          </w:p>
        </w:tc>
        <w:tc>
          <w:tcPr>
            <w:tcW w:w="1822" w:type="dxa"/>
          </w:tcPr>
          <w:p w:rsidR="00037D16" w:rsidRDefault="00037D16" w:rsidP="00037D16">
            <w:r>
              <w:t xml:space="preserve">L’origine </w:t>
            </w:r>
          </w:p>
        </w:tc>
        <w:tc>
          <w:tcPr>
            <w:tcW w:w="1816" w:type="dxa"/>
          </w:tcPr>
          <w:p w:rsidR="00037D16" w:rsidRDefault="00037D16" w:rsidP="00037D16">
            <w:r>
              <w:t>Le sexe</w:t>
            </w:r>
          </w:p>
        </w:tc>
        <w:tc>
          <w:tcPr>
            <w:tcW w:w="2062" w:type="dxa"/>
          </w:tcPr>
          <w:p w:rsidR="00037D16" w:rsidRDefault="00037D16" w:rsidP="00037D16">
            <w:r>
              <w:t>Les activités syndicales</w:t>
            </w:r>
          </w:p>
        </w:tc>
      </w:tr>
      <w:tr w:rsidR="00037D16" w:rsidTr="00037D16">
        <w:tc>
          <w:tcPr>
            <w:tcW w:w="1833" w:type="dxa"/>
          </w:tcPr>
          <w:p w:rsidR="00037D16" w:rsidRDefault="00037D16" w:rsidP="00037D16">
            <w:r>
              <w:t>L’âge</w:t>
            </w:r>
          </w:p>
        </w:tc>
        <w:tc>
          <w:tcPr>
            <w:tcW w:w="1822" w:type="dxa"/>
          </w:tcPr>
          <w:p w:rsidR="00037D16" w:rsidRDefault="00037D16" w:rsidP="00037D16">
            <w:r>
              <w:t>Appartenance à une nation</w:t>
            </w:r>
          </w:p>
        </w:tc>
        <w:tc>
          <w:tcPr>
            <w:tcW w:w="1816" w:type="dxa"/>
          </w:tcPr>
          <w:p w:rsidR="00037D16" w:rsidRDefault="00037D16" w:rsidP="00037D16">
            <w:r>
              <w:t>L’identité sexuelle</w:t>
            </w:r>
          </w:p>
        </w:tc>
        <w:tc>
          <w:tcPr>
            <w:tcW w:w="2062" w:type="dxa"/>
          </w:tcPr>
          <w:p w:rsidR="00037D16" w:rsidRDefault="00037D16" w:rsidP="00037D16">
            <w:r>
              <w:t>Appartenance à une religion</w:t>
            </w:r>
          </w:p>
        </w:tc>
      </w:tr>
      <w:tr w:rsidR="00037D16" w:rsidTr="00037D16">
        <w:tc>
          <w:tcPr>
            <w:tcW w:w="1833" w:type="dxa"/>
          </w:tcPr>
          <w:p w:rsidR="00037D16" w:rsidRDefault="00037D16" w:rsidP="00037D16">
            <w:r>
              <w:t>L’état de santé</w:t>
            </w:r>
          </w:p>
        </w:tc>
        <w:tc>
          <w:tcPr>
            <w:tcW w:w="1822" w:type="dxa"/>
          </w:tcPr>
          <w:p w:rsidR="00037D16" w:rsidRDefault="00037D16" w:rsidP="00037D16">
            <w:r>
              <w:t>Appartenance ou non à une ethnie</w:t>
            </w:r>
          </w:p>
        </w:tc>
        <w:tc>
          <w:tcPr>
            <w:tcW w:w="1816" w:type="dxa"/>
          </w:tcPr>
          <w:p w:rsidR="00037D16" w:rsidRDefault="00037D16" w:rsidP="00037D16">
            <w:r>
              <w:t>L’orientation sexuelle</w:t>
            </w:r>
          </w:p>
        </w:tc>
        <w:tc>
          <w:tcPr>
            <w:tcW w:w="2062" w:type="dxa"/>
          </w:tcPr>
          <w:p w:rsidR="00037D16" w:rsidRDefault="00037D16" w:rsidP="00037D16">
            <w:r>
              <w:t>Opinions politiques</w:t>
            </w:r>
          </w:p>
        </w:tc>
      </w:tr>
      <w:tr w:rsidR="00037D16" w:rsidTr="00037D16">
        <w:tc>
          <w:tcPr>
            <w:tcW w:w="1833" w:type="dxa"/>
          </w:tcPr>
          <w:p w:rsidR="00037D16" w:rsidRDefault="00037D16" w:rsidP="00037D16">
            <w:r>
              <w:t xml:space="preserve">Handicap </w:t>
            </w:r>
          </w:p>
        </w:tc>
        <w:tc>
          <w:tcPr>
            <w:tcW w:w="1822" w:type="dxa"/>
          </w:tcPr>
          <w:p w:rsidR="00037D16" w:rsidRDefault="00037D16" w:rsidP="00037D16">
            <w:r>
              <w:t>Appartenance ou non à une race</w:t>
            </w:r>
          </w:p>
        </w:tc>
        <w:tc>
          <w:tcPr>
            <w:tcW w:w="1816" w:type="dxa"/>
          </w:tcPr>
          <w:p w:rsidR="00037D16" w:rsidRDefault="00037D16" w:rsidP="00037D16">
            <w:r>
              <w:t>La situation de famille</w:t>
            </w:r>
          </w:p>
        </w:tc>
        <w:tc>
          <w:tcPr>
            <w:tcW w:w="2062" w:type="dxa"/>
          </w:tcPr>
          <w:p w:rsidR="00037D16" w:rsidRDefault="00037D16" w:rsidP="00037D16">
            <w:r>
              <w:t>Mœurs</w:t>
            </w:r>
          </w:p>
        </w:tc>
      </w:tr>
      <w:tr w:rsidR="00037D16" w:rsidTr="00037D16">
        <w:tc>
          <w:tcPr>
            <w:tcW w:w="1833" w:type="dxa"/>
          </w:tcPr>
          <w:p w:rsidR="00037D16" w:rsidRDefault="00037D16" w:rsidP="00037D16">
            <w:r>
              <w:t xml:space="preserve">Grossesse </w:t>
            </w:r>
          </w:p>
        </w:tc>
        <w:tc>
          <w:tcPr>
            <w:tcW w:w="1822" w:type="dxa"/>
          </w:tcPr>
          <w:p w:rsidR="00037D16" w:rsidRDefault="00037D16" w:rsidP="00037D16">
            <w:r>
              <w:t>patronyme</w:t>
            </w:r>
          </w:p>
        </w:tc>
        <w:tc>
          <w:tcPr>
            <w:tcW w:w="1816" w:type="dxa"/>
          </w:tcPr>
          <w:p w:rsidR="00037D16" w:rsidRDefault="00037D16" w:rsidP="00037D16"/>
        </w:tc>
        <w:tc>
          <w:tcPr>
            <w:tcW w:w="2062" w:type="dxa"/>
          </w:tcPr>
          <w:p w:rsidR="00037D16" w:rsidRDefault="00037D16" w:rsidP="00037D16"/>
        </w:tc>
      </w:tr>
      <w:tr w:rsidR="00037D16" w:rsidTr="00037D16">
        <w:tc>
          <w:tcPr>
            <w:tcW w:w="1833" w:type="dxa"/>
          </w:tcPr>
          <w:p w:rsidR="00037D16" w:rsidRDefault="00037D16" w:rsidP="00037D16">
            <w:r>
              <w:t>Caractéristiques génétiques</w:t>
            </w:r>
          </w:p>
        </w:tc>
        <w:tc>
          <w:tcPr>
            <w:tcW w:w="1822" w:type="dxa"/>
          </w:tcPr>
          <w:p w:rsidR="00037D16" w:rsidRDefault="00037D16" w:rsidP="00037D16">
            <w:r>
              <w:t xml:space="preserve">Lieu de résidence </w:t>
            </w:r>
          </w:p>
        </w:tc>
        <w:tc>
          <w:tcPr>
            <w:tcW w:w="1816" w:type="dxa"/>
          </w:tcPr>
          <w:p w:rsidR="00037D16" w:rsidRDefault="00037D16" w:rsidP="00037D16"/>
        </w:tc>
        <w:tc>
          <w:tcPr>
            <w:tcW w:w="2062" w:type="dxa"/>
          </w:tcPr>
          <w:p w:rsidR="00037D16" w:rsidRDefault="00037D16" w:rsidP="00037D16"/>
        </w:tc>
      </w:tr>
    </w:tbl>
    <w:p w:rsidR="00FA7755" w:rsidRPr="00FA7755" w:rsidRDefault="00FA7755" w:rsidP="00FA7755"/>
    <w:p w:rsidR="00FA7755" w:rsidRPr="00FA7755" w:rsidRDefault="00FA7755" w:rsidP="00FA7755"/>
    <w:p w:rsidR="00FA7755" w:rsidRPr="00FA7755" w:rsidRDefault="00FA7755" w:rsidP="00FA7755"/>
    <w:p w:rsidR="00FA7755" w:rsidRPr="00FA7755" w:rsidRDefault="00FA7755" w:rsidP="00FA7755"/>
    <w:p w:rsidR="00FA7755" w:rsidRPr="00FA7755" w:rsidRDefault="00FA7755" w:rsidP="00FA7755"/>
    <w:p w:rsidR="00FA7755" w:rsidRDefault="00FA7755" w:rsidP="00FA7755"/>
    <w:p w:rsidR="00FA7755" w:rsidRDefault="00FA7755" w:rsidP="00FA7755">
      <w:pPr>
        <w:tabs>
          <w:tab w:val="left" w:pos="3000"/>
        </w:tabs>
      </w:pPr>
    </w:p>
    <w:p w:rsidR="00FA7755" w:rsidRDefault="00FA7755" w:rsidP="00FA7755">
      <w:pPr>
        <w:tabs>
          <w:tab w:val="left" w:pos="3000"/>
        </w:tabs>
      </w:pPr>
    </w:p>
    <w:p w:rsidR="00FA7755" w:rsidRDefault="00FA7755" w:rsidP="00FA7755">
      <w:pPr>
        <w:tabs>
          <w:tab w:val="left" w:pos="3000"/>
        </w:tabs>
      </w:pPr>
    </w:p>
    <w:p w:rsidR="00FA7755" w:rsidRPr="00FA7755" w:rsidRDefault="00FA7755" w:rsidP="00FA7755">
      <w:pPr>
        <w:tabs>
          <w:tab w:val="left" w:pos="3000"/>
        </w:tabs>
        <w:rPr>
          <w:b/>
          <w:sz w:val="28"/>
          <w:szCs w:val="28"/>
          <w:u w:val="single"/>
        </w:rPr>
      </w:pPr>
      <w:r w:rsidRPr="00FA7755">
        <w:rPr>
          <w:b/>
          <w:sz w:val="28"/>
          <w:szCs w:val="28"/>
          <w:u w:val="single"/>
        </w:rPr>
        <w:t>Article de presse :</w:t>
      </w:r>
    </w:p>
    <w:p w:rsidR="00FA7755" w:rsidRPr="00FA7755" w:rsidRDefault="00FA7755" w:rsidP="00FA7755">
      <w:pPr>
        <w:pStyle w:val="Titre1"/>
        <w:shd w:val="clear" w:color="auto" w:fill="FFFFFF"/>
        <w:spacing w:line="795" w:lineRule="atLeast"/>
        <w:jc w:val="center"/>
        <w:rPr>
          <w:rFonts w:ascii="Duplicate Regular" w:hAnsi="Duplicate Regular"/>
          <w:color w:val="548DD4" w:themeColor="text2" w:themeTint="99"/>
          <w:sz w:val="22"/>
          <w:szCs w:val="22"/>
        </w:rPr>
      </w:pPr>
      <w:r w:rsidRPr="00FA7755">
        <w:rPr>
          <w:rFonts w:ascii="Duplicate Regular" w:hAnsi="Duplicate Regular"/>
          <w:color w:val="548DD4" w:themeColor="text2" w:themeTint="99"/>
          <w:sz w:val="22"/>
          <w:szCs w:val="22"/>
        </w:rPr>
        <w:t>http://www.leparisien.fr/societe/discrimination-envers-des-handicapes-la-condamnation-d-easyjet-confirmee-05-02-2013-2541787.php</w:t>
      </w:r>
    </w:p>
    <w:p w:rsidR="00FA7755" w:rsidRPr="00FA7755" w:rsidRDefault="00FA7755" w:rsidP="00FA7755">
      <w:pPr>
        <w:pStyle w:val="Titre1"/>
        <w:shd w:val="clear" w:color="auto" w:fill="FFFFFF"/>
        <w:jc w:val="both"/>
        <w:rPr>
          <w:rFonts w:ascii="Duplicate Regular" w:hAnsi="Duplicate Regular"/>
          <w:color w:val="141E28"/>
          <w:sz w:val="36"/>
          <w:szCs w:val="36"/>
        </w:rPr>
      </w:pPr>
      <w:r w:rsidRPr="00FA7755">
        <w:rPr>
          <w:rFonts w:ascii="Duplicate Regular" w:hAnsi="Duplicate Regular"/>
          <w:color w:val="141E28"/>
          <w:sz w:val="36"/>
          <w:szCs w:val="36"/>
        </w:rPr>
        <w:t xml:space="preserve">Discrimination envers des handicapés : condamnation confirmée pour </w:t>
      </w:r>
      <w:proofErr w:type="spellStart"/>
      <w:r w:rsidRPr="00FA7755">
        <w:rPr>
          <w:rFonts w:ascii="Duplicate Regular" w:hAnsi="Duplicate Regular"/>
          <w:color w:val="141E28"/>
          <w:sz w:val="36"/>
          <w:szCs w:val="36"/>
        </w:rPr>
        <w:t>EasyJet</w:t>
      </w:r>
      <w:proofErr w:type="spellEnd"/>
    </w:p>
    <w:p w:rsidR="00FA7755" w:rsidRDefault="00FA7755" w:rsidP="00FA7755">
      <w:pPr>
        <w:shd w:val="clear" w:color="auto" w:fill="FFFFFF"/>
        <w:spacing w:line="240" w:lineRule="auto"/>
        <w:jc w:val="both"/>
        <w:rPr>
          <w:rFonts w:ascii="Encode Regular" w:hAnsi="Encode Regular"/>
          <w:color w:val="141E28"/>
          <w:sz w:val="15"/>
          <w:szCs w:val="15"/>
        </w:rPr>
      </w:pPr>
      <w:r>
        <w:rPr>
          <w:rStyle w:val="article-fullinfos-separator1"/>
        </w:rPr>
        <w:t>&gt;</w:t>
      </w:r>
      <w:r>
        <w:rPr>
          <w:rStyle w:val="breadcrumbitem1"/>
        </w:rPr>
        <w:t>Société</w:t>
      </w:r>
      <w:r>
        <w:rPr>
          <w:rStyle w:val="article-fullinfos-separator1"/>
        </w:rPr>
        <w:t>|</w:t>
      </w:r>
      <w:r>
        <w:rPr>
          <w:rStyle w:val="article-fullinfos-date1"/>
          <w:rFonts w:ascii="Encode Regular" w:hAnsi="Encode Regular"/>
          <w:sz w:val="15"/>
          <w:szCs w:val="15"/>
        </w:rPr>
        <w:t>05 février 2013, 14h23</w:t>
      </w:r>
      <w:r>
        <w:rPr>
          <w:rStyle w:val="article-fullinfos-separator1"/>
        </w:rPr>
        <w:t>|</w:t>
      </w:r>
      <w:r>
        <w:rPr>
          <w:rStyle w:val="article-fullinfos-comment1"/>
          <w:rFonts w:ascii="Encode Regular" w:hAnsi="Encode Regular"/>
          <w:sz w:val="15"/>
          <w:szCs w:val="15"/>
        </w:rPr>
        <w:t>14</w:t>
      </w:r>
    </w:p>
    <w:p w:rsidR="00FA7755" w:rsidRDefault="0007664C" w:rsidP="00FA7755">
      <w:pPr>
        <w:shd w:val="clear" w:color="auto" w:fill="FFFFFF"/>
        <w:spacing w:line="240" w:lineRule="auto"/>
        <w:jc w:val="both"/>
        <w:textAlignment w:val="bottom"/>
        <w:rPr>
          <w:rFonts w:ascii="Encode Regular" w:hAnsi="Encode Regular"/>
          <w:color w:val="141E28"/>
          <w:sz w:val="24"/>
          <w:szCs w:val="24"/>
        </w:rPr>
      </w:pPr>
      <w:hyperlink r:id="rId6" w:history="1">
        <w:r w:rsidR="00FA7755">
          <w:rPr>
            <w:rStyle w:val="Lienhypertexte"/>
            <w:rFonts w:ascii="Encode Regular" w:hAnsi="Encode Regular"/>
            <w:color w:val="141E28"/>
            <w:sz w:val="21"/>
            <w:szCs w:val="21"/>
            <w:shd w:val="clear" w:color="auto" w:fill="DCF0FA"/>
          </w:rPr>
          <w:t>Société</w:t>
        </w:r>
      </w:hyperlink>
    </w:p>
    <w:p w:rsidR="00FA7755" w:rsidRDefault="00FA7755" w:rsidP="00FA7755">
      <w:pPr>
        <w:shd w:val="clear" w:color="auto" w:fill="FFFFFF"/>
        <w:spacing w:line="240" w:lineRule="auto"/>
        <w:jc w:val="both"/>
        <w:rPr>
          <w:rFonts w:ascii="Encode Regular" w:hAnsi="Encode Regular"/>
          <w:color w:val="141E28"/>
        </w:rPr>
      </w:pPr>
      <w:r>
        <w:rPr>
          <w:rStyle w:val="article-fulllettrine1"/>
          <w:b/>
          <w:bCs/>
          <w:color w:val="141E28"/>
        </w:rPr>
        <w:t>L</w:t>
      </w:r>
      <w:r>
        <w:rPr>
          <w:rFonts w:ascii="Encode Regular" w:hAnsi="Encode Regular"/>
          <w:color w:val="141E28"/>
        </w:rPr>
        <w:t xml:space="preserve">a cour d'appel de Paris a confirmé mardi la condamnation de la compagnie aérienne </w:t>
      </w:r>
      <w:proofErr w:type="spellStart"/>
      <w:r>
        <w:rPr>
          <w:rFonts w:ascii="Encode Regular" w:hAnsi="Encode Regular"/>
          <w:color w:val="141E28"/>
        </w:rPr>
        <w:t>Easyjet</w:t>
      </w:r>
      <w:proofErr w:type="spellEnd"/>
      <w:r>
        <w:rPr>
          <w:rFonts w:ascii="Encode Regular" w:hAnsi="Encode Regular"/>
          <w:color w:val="141E28"/>
        </w:rPr>
        <w:t xml:space="preserve"> à 70.000 euros d'amende pour discrimination pour avoir refusé l'accès d'un avion à trois personnes handicapées non accompagnées, en avançant des raisons de sécurité.</w:t>
      </w:r>
      <w:r>
        <w:rPr>
          <w:rFonts w:ascii="Encode Regular" w:hAnsi="Encode Regular"/>
          <w:color w:val="141E28"/>
        </w:rPr>
        <w:br/>
      </w:r>
      <w:r>
        <w:rPr>
          <w:rFonts w:ascii="Encode Regular" w:hAnsi="Encode Regular"/>
          <w:color w:val="141E28"/>
        </w:rPr>
        <w:br/>
        <w:t>Les plaignants s'étaient vu refuser l'embarquement dans un avion à l'aéroport de Roissy-Charles-de-Gaulle, le 12 janvier 2009, ainsi que les 9 et 19 novembre 2008. La compagnie de droit britannique assure se conformer aux réglementations européenne et britannique, évoquant des raisons de sécurité.</w:t>
      </w:r>
      <w:r>
        <w:rPr>
          <w:rFonts w:ascii="Encode Regular" w:hAnsi="Encode Regular"/>
          <w:color w:val="141E28"/>
        </w:rPr>
        <w:br/>
      </w:r>
      <w:r>
        <w:rPr>
          <w:rFonts w:ascii="Encode Regular" w:hAnsi="Encode Regular"/>
          <w:color w:val="141E28"/>
        </w:rPr>
        <w:br/>
        <w:t xml:space="preserve">Outre l'amende de 70.000 euros, le tribunal a condamné </w:t>
      </w:r>
      <w:proofErr w:type="spellStart"/>
      <w:r>
        <w:rPr>
          <w:rFonts w:ascii="Encode Regular" w:hAnsi="Encode Regular"/>
          <w:color w:val="141E28"/>
        </w:rPr>
        <w:t>Easyjet</w:t>
      </w:r>
      <w:proofErr w:type="spellEnd"/>
      <w:r>
        <w:rPr>
          <w:rFonts w:ascii="Encode Regular" w:hAnsi="Encode Regular"/>
          <w:color w:val="141E28"/>
        </w:rPr>
        <w:t xml:space="preserve"> à verser 2.000 euros de dommages et intérêts à chacun des trois plaignants, et un euro symbolique à l'Association des paralysés de France (APF). </w:t>
      </w:r>
    </w:p>
    <w:p w:rsidR="00FA7755" w:rsidRDefault="00FA7755" w:rsidP="00FA7755">
      <w:pPr>
        <w:shd w:val="clear" w:color="auto" w:fill="FFFFFF"/>
        <w:spacing w:line="240" w:lineRule="auto"/>
        <w:jc w:val="both"/>
        <w:rPr>
          <w:rStyle w:val="article-fullsource1"/>
          <w:color w:val="141E28"/>
        </w:rPr>
      </w:pPr>
      <w:r>
        <w:rPr>
          <w:rStyle w:val="article-fullsource1"/>
          <w:color w:val="141E28"/>
        </w:rPr>
        <w:t>  Leparisien.fr avec A</w:t>
      </w:r>
    </w:p>
    <w:p w:rsidR="00CD5DA6" w:rsidRDefault="00CD5DA6" w:rsidP="00FA7755">
      <w:pPr>
        <w:shd w:val="clear" w:color="auto" w:fill="FFFFFF"/>
        <w:spacing w:line="240" w:lineRule="auto"/>
        <w:jc w:val="both"/>
        <w:rPr>
          <w:rStyle w:val="article-fullsource1"/>
          <w:color w:val="141E28"/>
        </w:rPr>
      </w:pPr>
      <w:bookmarkStart w:id="0" w:name="_GoBack"/>
      <w:bookmarkEnd w:id="0"/>
      <w:r>
        <w:rPr>
          <w:rStyle w:val="article-fullsource1"/>
          <w:color w:val="141E28"/>
        </w:rPr>
        <w:lastRenderedPageBreak/>
        <w:t>Questionnaire sur l’article de presse </w:t>
      </w:r>
      <w:r w:rsidR="0007664C">
        <w:rPr>
          <w:rStyle w:val="article-fullsource1"/>
          <w:color w:val="141E28"/>
        </w:rPr>
        <w:t xml:space="preserve">(en lien avec le texte de loi) </w:t>
      </w:r>
    </w:p>
    <w:p w:rsidR="00CD5DA6" w:rsidRPr="00CD5DA6" w:rsidRDefault="00CD5DA6" w:rsidP="00CD5D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1-</w:t>
      </w:r>
      <w:r w:rsidRPr="00CD5DA6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Quelle discrimination est relatée dans cet article ?</w:t>
      </w:r>
    </w:p>
    <w:p w:rsidR="00CD5DA6" w:rsidRPr="00CD5DA6" w:rsidRDefault="00CD5DA6" w:rsidP="00CD5D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2-</w:t>
      </w:r>
      <w:r w:rsidRPr="00CD5DA6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Résumez en une phrase les circonstances du fait délictueux (Qui ? Où ? Quand ? Ce qui s’est passé…)</w:t>
      </w:r>
    </w:p>
    <w:p w:rsidR="00CD5DA6" w:rsidRDefault="00CD5DA6" w:rsidP="00CD5D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3-</w:t>
      </w:r>
      <w:r w:rsidRPr="00CD5DA6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A quelle condamnation a été condamnée la société </w:t>
      </w:r>
      <w:proofErr w:type="spellStart"/>
      <w:r w:rsidRPr="00CD5DA6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EasyJet</w:t>
      </w:r>
      <w:proofErr w:type="spellEnd"/>
      <w:r w:rsidRPr="00CD5DA6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 ?</w:t>
      </w:r>
    </w:p>
    <w:p w:rsidR="00CD5DA6" w:rsidRPr="00CD5DA6" w:rsidRDefault="00CD5DA6" w:rsidP="00CD5D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4-En vous référant au texte de loi, la condamnation prononcée  est-elle conforme aux sanctions prévues. Expliquez pourquoi.</w:t>
      </w:r>
    </w:p>
    <w:p w:rsidR="00CD5DA6" w:rsidRDefault="00CD5DA6" w:rsidP="00FA7755">
      <w:pPr>
        <w:shd w:val="clear" w:color="auto" w:fill="FFFFFF"/>
        <w:spacing w:line="240" w:lineRule="auto"/>
        <w:jc w:val="both"/>
        <w:rPr>
          <w:rFonts w:ascii="Encode Regular" w:hAnsi="Encode Regular"/>
          <w:color w:val="141E28"/>
        </w:rPr>
      </w:pPr>
    </w:p>
    <w:p w:rsidR="00FA7755" w:rsidRPr="00FA7755" w:rsidRDefault="00FA7755" w:rsidP="00FA7755">
      <w:pPr>
        <w:tabs>
          <w:tab w:val="left" w:pos="3000"/>
        </w:tabs>
        <w:rPr>
          <w:b/>
          <w:sz w:val="28"/>
          <w:szCs w:val="28"/>
          <w:u w:val="single"/>
        </w:rPr>
      </w:pPr>
      <w:r w:rsidRPr="00FA7755">
        <w:rPr>
          <w:b/>
          <w:sz w:val="28"/>
          <w:szCs w:val="28"/>
          <w:u w:val="single"/>
        </w:rPr>
        <w:t>Texte de loi</w:t>
      </w:r>
      <w:r w:rsidR="00FE3104">
        <w:rPr>
          <w:b/>
          <w:sz w:val="28"/>
          <w:szCs w:val="28"/>
          <w:u w:val="single"/>
        </w:rPr>
        <w:t> :</w:t>
      </w:r>
    </w:p>
    <w:p w:rsidR="00FA7755" w:rsidRDefault="00FA7755" w:rsidP="00FA7755">
      <w:pPr>
        <w:tabs>
          <w:tab w:val="left" w:pos="3000"/>
        </w:tabs>
      </w:pPr>
    </w:p>
    <w:p w:rsidR="00FA7755" w:rsidRDefault="0007664C" w:rsidP="00FA7755">
      <w:pPr>
        <w:tabs>
          <w:tab w:val="left" w:pos="3000"/>
        </w:tabs>
      </w:pPr>
      <w:hyperlink r:id="rId7" w:history="1">
        <w:r w:rsidR="00FA7755" w:rsidRPr="00753D00">
          <w:rPr>
            <w:rStyle w:val="Lienhypertexte"/>
          </w:rPr>
          <w:t>https://www.legifrance.gouv.fr/affichCode.do;jsessionid=2EA8C87847C6FCD3FEF47F6BD8E70E16.tpdila13v_3?idSectionTA=LEGISCTA000006165298&amp;cidTexte=LEGITEXT000006070719&amp;dateTexte=20160629</w:t>
        </w:r>
      </w:hyperlink>
    </w:p>
    <w:p w:rsidR="00FA7755" w:rsidRDefault="00FA7755" w:rsidP="00FA7755">
      <w:pPr>
        <w:tabs>
          <w:tab w:val="left" w:pos="3000"/>
        </w:tabs>
      </w:pPr>
    </w:p>
    <w:p w:rsidR="00FA7755" w:rsidRPr="00FA7755" w:rsidRDefault="00FA7755" w:rsidP="00FA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Article 225-2 </w:t>
      </w:r>
      <w:hyperlink r:id="rId8" w:tooltip="En savoir plus sur l'article 225-2" w:history="1">
        <w:r w:rsidRPr="00FA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 savoir plus sur cet article...</w:t>
        </w:r>
      </w:hyperlink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A7755" w:rsidRPr="00FA7755" w:rsidRDefault="00FA7755" w:rsidP="00FA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Modifié par </w:t>
      </w:r>
      <w:hyperlink r:id="rId9" w:history="1">
        <w:r w:rsidRPr="00FA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LOI n°2012-954 du 6 août 2012 - art. 3</w:t>
        </w:r>
      </w:hyperlink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A7755" w:rsidRPr="00FA7755" w:rsidRDefault="00FA7755" w:rsidP="00FA7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discrimination définie aux </w:t>
      </w:r>
      <w:hyperlink r:id="rId10" w:history="1">
        <w:r w:rsidRPr="00FA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articles 225-1 et 225-1-1</w:t>
        </w:r>
      </w:hyperlink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commise à l'égard d'une personne physique ou morale, est punie de trois ans d'emprisonnement et de 45 000 euros d'amende lorsqu'elle consiste : </w:t>
      </w:r>
    </w:p>
    <w:p w:rsidR="00FA7755" w:rsidRPr="00FA7755" w:rsidRDefault="00FA7755" w:rsidP="00FA7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1° A refuser la fourniture d'un bien ou d'un service ; </w:t>
      </w:r>
    </w:p>
    <w:p w:rsidR="00FA7755" w:rsidRPr="00FA7755" w:rsidRDefault="00FA7755" w:rsidP="00FA7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2° A entraver l'exercice normal d'une activité économique quelconque ; </w:t>
      </w:r>
    </w:p>
    <w:p w:rsidR="00FA7755" w:rsidRPr="00FA7755" w:rsidRDefault="00FA7755" w:rsidP="00FA7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3° A refuser d'embaucher, à sanctionner ou à licencier une personne ; </w:t>
      </w:r>
    </w:p>
    <w:p w:rsidR="00FA7755" w:rsidRPr="00FA7755" w:rsidRDefault="00FA7755" w:rsidP="00FA7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4° A subordonner la fourniture d'un bien ou d'un service à une condition fondée sur l'un des éléments visés à l'article 225-1 ou prévue à </w:t>
      </w:r>
      <w:hyperlink r:id="rId11" w:history="1">
        <w:r w:rsidRPr="00FA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l'article 225-1-1</w:t>
        </w:r>
      </w:hyperlink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</w:t>
      </w:r>
    </w:p>
    <w:p w:rsidR="00FA7755" w:rsidRPr="00FA7755" w:rsidRDefault="00FA7755" w:rsidP="00FA7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5° A subordonner une offre d'emploi, une demande de stage ou une période de formation en entreprise à une condition fondée sur l'un des éléments visés à l'article 225-1 ou prévue à l'article 225-1-1 ; </w:t>
      </w:r>
    </w:p>
    <w:p w:rsidR="00FA7755" w:rsidRPr="00FA7755" w:rsidRDefault="00FA7755" w:rsidP="00FA7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6° A </w:t>
      </w:r>
      <w:proofErr w:type="gramStart"/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>refuser</w:t>
      </w:r>
      <w:proofErr w:type="gramEnd"/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d'accepter une personne à l'un des stages visés par le 2° de l'article </w:t>
      </w:r>
      <w:hyperlink r:id="rId12" w:history="1">
        <w:r w:rsidRPr="00FA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L. 412-8 </w:t>
        </w:r>
      </w:hyperlink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code de la sécurité sociale. </w:t>
      </w:r>
    </w:p>
    <w:p w:rsidR="00FA7755" w:rsidRPr="00FA7755" w:rsidRDefault="00FA7755" w:rsidP="00FA7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7755">
        <w:rPr>
          <w:rFonts w:ascii="Times New Roman" w:eastAsia="Times New Roman" w:hAnsi="Times New Roman" w:cs="Times New Roman"/>
          <w:sz w:val="24"/>
          <w:szCs w:val="24"/>
          <w:lang w:eastAsia="fr-FR"/>
        </w:rPr>
        <w:t>Lorsque le refus discriminatoire prévu au 1° est commis dans un lieu accueillant du public ou aux fins d'en interdire l'accès, les peines sont portées à cinq ans d'emprisonnement et à 75 000 euros d'amende.</w:t>
      </w:r>
    </w:p>
    <w:p w:rsidR="00FA7755" w:rsidRPr="00FA7755" w:rsidRDefault="00FA7755" w:rsidP="00FA7755">
      <w:pPr>
        <w:tabs>
          <w:tab w:val="left" w:pos="3000"/>
        </w:tabs>
      </w:pPr>
    </w:p>
    <w:sectPr w:rsidR="00FA7755" w:rsidRPr="00FA7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ncode Regular">
    <w:altName w:val="Times New Roman"/>
    <w:panose1 w:val="00000000000000000000"/>
    <w:charset w:val="00"/>
    <w:family w:val="roman"/>
    <w:notTrueType/>
    <w:pitch w:val="default"/>
  </w:font>
  <w:font w:name="Encode Medium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plicate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A7"/>
    <w:rsid w:val="00037D16"/>
    <w:rsid w:val="0007664C"/>
    <w:rsid w:val="00AC6DA7"/>
    <w:rsid w:val="00CD5DA6"/>
    <w:rsid w:val="00ED1F6D"/>
    <w:rsid w:val="00F500B6"/>
    <w:rsid w:val="00FA7755"/>
    <w:rsid w:val="00F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A7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A77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A775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rticle-fullinfos-separator1">
    <w:name w:val="article-full__infos-separator1"/>
    <w:basedOn w:val="Policepardfaut"/>
    <w:rsid w:val="00FA7755"/>
    <w:rPr>
      <w:rFonts w:ascii="Encode Regular" w:hAnsi="Encode Regular" w:hint="default"/>
      <w:color w:val="A0B4BE"/>
      <w:sz w:val="18"/>
      <w:szCs w:val="18"/>
    </w:rPr>
  </w:style>
  <w:style w:type="character" w:customStyle="1" w:styleId="breadcrumbitem1">
    <w:name w:val="breadcrumb__item1"/>
    <w:basedOn w:val="Policepardfaut"/>
    <w:rsid w:val="00FA7755"/>
    <w:rPr>
      <w:rFonts w:ascii="Encode Regular" w:hAnsi="Encode Regular" w:hint="default"/>
      <w:color w:val="A0B4BE"/>
      <w:sz w:val="15"/>
      <w:szCs w:val="15"/>
    </w:rPr>
  </w:style>
  <w:style w:type="character" w:customStyle="1" w:styleId="article-fullinfos-date1">
    <w:name w:val="article-full__infos-date1"/>
    <w:basedOn w:val="Policepardfaut"/>
    <w:rsid w:val="00FA7755"/>
    <w:rPr>
      <w:color w:val="A0B4BE"/>
    </w:rPr>
  </w:style>
  <w:style w:type="character" w:customStyle="1" w:styleId="article-fullinfos-comment1">
    <w:name w:val="article-full__infos-comment1"/>
    <w:basedOn w:val="Policepardfaut"/>
    <w:rsid w:val="00FA7755"/>
    <w:rPr>
      <w:color w:val="A0B4BE"/>
    </w:rPr>
  </w:style>
  <w:style w:type="character" w:customStyle="1" w:styleId="article-fulllettrine1">
    <w:name w:val="article-full__lettrine1"/>
    <w:basedOn w:val="Policepardfaut"/>
    <w:rsid w:val="00FA7755"/>
    <w:rPr>
      <w:rFonts w:ascii="Encode Medium" w:hAnsi="Encode Medium" w:hint="default"/>
      <w:caps/>
      <w:sz w:val="108"/>
      <w:szCs w:val="108"/>
    </w:rPr>
  </w:style>
  <w:style w:type="character" w:customStyle="1" w:styleId="article-fullsource1">
    <w:name w:val="article-full__source1"/>
    <w:basedOn w:val="Policepardfaut"/>
    <w:rsid w:val="00FA7755"/>
    <w:rPr>
      <w:rFonts w:ascii="Encode Regular" w:hAnsi="Encode Regular" w:hint="default"/>
      <w:b/>
      <w:bCs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A7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A77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A775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rticle-fullinfos-separator1">
    <w:name w:val="article-full__infos-separator1"/>
    <w:basedOn w:val="Policepardfaut"/>
    <w:rsid w:val="00FA7755"/>
    <w:rPr>
      <w:rFonts w:ascii="Encode Regular" w:hAnsi="Encode Regular" w:hint="default"/>
      <w:color w:val="A0B4BE"/>
      <w:sz w:val="18"/>
      <w:szCs w:val="18"/>
    </w:rPr>
  </w:style>
  <w:style w:type="character" w:customStyle="1" w:styleId="breadcrumbitem1">
    <w:name w:val="breadcrumb__item1"/>
    <w:basedOn w:val="Policepardfaut"/>
    <w:rsid w:val="00FA7755"/>
    <w:rPr>
      <w:rFonts w:ascii="Encode Regular" w:hAnsi="Encode Regular" w:hint="default"/>
      <w:color w:val="A0B4BE"/>
      <w:sz w:val="15"/>
      <w:szCs w:val="15"/>
    </w:rPr>
  </w:style>
  <w:style w:type="character" w:customStyle="1" w:styleId="article-fullinfos-date1">
    <w:name w:val="article-full__infos-date1"/>
    <w:basedOn w:val="Policepardfaut"/>
    <w:rsid w:val="00FA7755"/>
    <w:rPr>
      <w:color w:val="A0B4BE"/>
    </w:rPr>
  </w:style>
  <w:style w:type="character" w:customStyle="1" w:styleId="article-fullinfos-comment1">
    <w:name w:val="article-full__infos-comment1"/>
    <w:basedOn w:val="Policepardfaut"/>
    <w:rsid w:val="00FA7755"/>
    <w:rPr>
      <w:color w:val="A0B4BE"/>
    </w:rPr>
  </w:style>
  <w:style w:type="character" w:customStyle="1" w:styleId="article-fulllettrine1">
    <w:name w:val="article-full__lettrine1"/>
    <w:basedOn w:val="Policepardfaut"/>
    <w:rsid w:val="00FA7755"/>
    <w:rPr>
      <w:rFonts w:ascii="Encode Medium" w:hAnsi="Encode Medium" w:hint="default"/>
      <w:caps/>
      <w:sz w:val="108"/>
      <w:szCs w:val="108"/>
    </w:rPr>
  </w:style>
  <w:style w:type="character" w:customStyle="1" w:styleId="article-fullsource1">
    <w:name w:val="article-full__source1"/>
    <w:basedOn w:val="Policepardfaut"/>
    <w:rsid w:val="00FA7755"/>
    <w:rPr>
      <w:rFonts w:ascii="Encode Regular" w:hAnsi="Encode Regular" w:hint="default"/>
      <w:b/>
      <w:bCs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51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5451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7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0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0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052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24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0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;jsessionid=BACF6DB7A8A23FF7D1531019E5C9EFA5.tpdila13v_3?idArticle=LEGIARTI000026268210&amp;cidTexte=LEGITEXT000006070719&amp;dateTexte=2016062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Code.do;jsessionid=2EA8C87847C6FCD3FEF47F6BD8E70E16.tpdila13v_3?idSectionTA=LEGISCTA000006165298&amp;cidTexte=LEGITEXT000006070719&amp;dateTexte=20160629" TargetMode="External"/><Relationship Id="rId12" Type="http://schemas.openxmlformats.org/officeDocument/2006/relationships/hyperlink" Target="https://www.legifrance.gouv.fr/affichCodeArticle.do?cidTexte=LEGITEXT000006073189&amp;idArticle=LEGIARTI000006743161&amp;dateTexte=&amp;categorieLien=c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parisien.fr/societe/" TargetMode="External"/><Relationship Id="rId11" Type="http://schemas.openxmlformats.org/officeDocument/2006/relationships/hyperlink" Target="https://www.legifrance.gouv.fr/affichCodeArticle.do?cidTexte=LEGITEXT000006070719&amp;idArticle=LEGIARTI000026264881&amp;dateTexte=&amp;categorieLien=cid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legifrance.gouv.fr/affichCodeArticle.do?cidTexte=LEGITEXT000006070719&amp;idArticle=LEGIARTI000006417828&amp;dateTexte=&amp;categorieLien=c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affichTexteArticle.do;jsessionid=BACF6DB7A8A23FF7D1531019E5C9EFA5.tpdila13v_3?cidTexte=JORFTEXT000026263463&amp;idArticle=LEGIARTI000026264460&amp;dateTexte=201208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</dc:creator>
  <cp:lastModifiedBy>locadm</cp:lastModifiedBy>
  <cp:revision>4</cp:revision>
  <dcterms:created xsi:type="dcterms:W3CDTF">2017-01-19T10:38:00Z</dcterms:created>
  <dcterms:modified xsi:type="dcterms:W3CDTF">2017-01-19T13:30:00Z</dcterms:modified>
</cp:coreProperties>
</file>