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2CA" w:rsidRDefault="00AA31E9">
      <w:pPr>
        <w:pStyle w:val="Standard"/>
        <w:jc w:val="center"/>
        <w:rPr>
          <w:b/>
          <w:bCs/>
          <w:sz w:val="28"/>
          <w:szCs w:val="28"/>
          <w:u w:val="single"/>
        </w:rPr>
      </w:pPr>
      <w:r>
        <w:rPr>
          <w:b/>
          <w:bCs/>
          <w:sz w:val="28"/>
          <w:szCs w:val="28"/>
          <w:u w:val="single"/>
        </w:rPr>
        <w:t>Dossier documentaire</w:t>
      </w:r>
    </w:p>
    <w:p w:rsidR="001D02CA" w:rsidRDefault="001D02CA">
      <w:pPr>
        <w:pStyle w:val="Standard"/>
        <w:jc w:val="center"/>
      </w:pPr>
    </w:p>
    <w:p w:rsidR="001D02CA" w:rsidRDefault="00AA31E9">
      <w:pPr>
        <w:pStyle w:val="Standard"/>
        <w:jc w:val="center"/>
        <w:rPr>
          <w:b/>
          <w:bCs/>
          <w:i/>
          <w:iCs/>
          <w:sz w:val="28"/>
          <w:szCs w:val="28"/>
        </w:rPr>
      </w:pPr>
      <w:r>
        <w:rPr>
          <w:b/>
          <w:bCs/>
          <w:i/>
          <w:iCs/>
          <w:sz w:val="28"/>
          <w:szCs w:val="28"/>
        </w:rPr>
        <w:t>Mouvement Combat</w:t>
      </w:r>
    </w:p>
    <w:p w:rsidR="001D02CA" w:rsidRDefault="001D02CA">
      <w:pPr>
        <w:pStyle w:val="Standard"/>
        <w:jc w:val="both"/>
      </w:pPr>
    </w:p>
    <w:p w:rsidR="001D02CA" w:rsidRDefault="00AA31E9">
      <w:pPr>
        <w:pStyle w:val="Standard"/>
        <w:jc w:val="both"/>
      </w:pPr>
      <w:r>
        <w:rPr>
          <w:sz w:val="28"/>
          <w:szCs w:val="28"/>
        </w:rPr>
        <w:tab/>
      </w:r>
      <w:r>
        <w:t>Le mouvement Combat est dirigé par Henri Frenay, Il est issu de la fusion de plusieurs mouvements plus petits de la Résistance.</w:t>
      </w:r>
      <w:r>
        <w:rPr>
          <w:sz w:val="28"/>
          <w:szCs w:val="28"/>
        </w:rPr>
        <w:t xml:space="preserve"> </w:t>
      </w:r>
    </w:p>
    <w:p w:rsidR="001D02CA" w:rsidRDefault="001D02CA">
      <w:pPr>
        <w:pStyle w:val="Standard"/>
        <w:jc w:val="both"/>
      </w:pPr>
    </w:p>
    <w:p w:rsidR="001D02CA" w:rsidRDefault="00AA31E9">
      <w:pPr>
        <w:pStyle w:val="Standard"/>
        <w:jc w:val="both"/>
        <w:rPr>
          <w:b/>
          <w:bCs/>
          <w:u w:val="single"/>
        </w:rPr>
      </w:pPr>
      <w:r>
        <w:rPr>
          <w:b/>
          <w:bCs/>
          <w:u w:val="single"/>
        </w:rPr>
        <w:t xml:space="preserve">Quelques dates importantes : </w:t>
      </w:r>
    </w:p>
    <w:p w:rsidR="001D02CA" w:rsidRDefault="001D02CA">
      <w:pPr>
        <w:pStyle w:val="Standard"/>
        <w:jc w:val="both"/>
      </w:pPr>
    </w:p>
    <w:p w:rsidR="001D02CA" w:rsidRDefault="00AA31E9">
      <w:pPr>
        <w:pStyle w:val="Standard"/>
      </w:pPr>
      <w:r>
        <w:t xml:space="preserve">- </w:t>
      </w:r>
      <w:r>
        <w:rPr>
          <w:b/>
          <w:bCs/>
        </w:rPr>
        <w:t>août 1940</w:t>
      </w:r>
      <w:r>
        <w:t> : création du mouvement Combat à Lyon.</w:t>
      </w:r>
    </w:p>
    <w:p w:rsidR="001D02CA" w:rsidRDefault="001D02CA">
      <w:pPr>
        <w:pStyle w:val="Standard"/>
      </w:pPr>
    </w:p>
    <w:p w:rsidR="001D02CA" w:rsidRDefault="00AA31E9">
      <w:pPr>
        <w:pStyle w:val="Standard"/>
      </w:pPr>
      <w:r>
        <w:t>-</w:t>
      </w:r>
      <w:r>
        <w:rPr>
          <w:b/>
          <w:bCs/>
        </w:rPr>
        <w:t xml:space="preserve"> juillet 1941</w:t>
      </w:r>
      <w:r>
        <w:t> : Henri Frenay rencontre Jean Moulin et se rapproche du général de Gaulle</w:t>
      </w:r>
      <w:r>
        <w:t>.</w:t>
      </w:r>
    </w:p>
    <w:p w:rsidR="001D02CA" w:rsidRDefault="001D02CA">
      <w:pPr>
        <w:pStyle w:val="Standard"/>
      </w:pPr>
    </w:p>
    <w:p w:rsidR="001D02CA" w:rsidRDefault="00AA31E9">
      <w:pPr>
        <w:pStyle w:val="Standard"/>
      </w:pPr>
      <w:r>
        <w:t xml:space="preserve">- </w:t>
      </w:r>
      <w:r>
        <w:rPr>
          <w:b/>
          <w:bCs/>
        </w:rPr>
        <w:t>décembre 1941</w:t>
      </w:r>
      <w:r>
        <w:t> : parution du 1</w:t>
      </w:r>
      <w:r>
        <w:rPr>
          <w:vertAlign w:val="superscript"/>
        </w:rPr>
        <w:t>er</w:t>
      </w:r>
      <w:r>
        <w:t xml:space="preserve"> numéro du journal Combat (voir document</w:t>
      </w:r>
      <w:r w:rsidR="00CA2F15">
        <w:t xml:space="preserve"> 3)</w:t>
      </w:r>
      <w:r>
        <w:t>.</w:t>
      </w:r>
    </w:p>
    <w:p w:rsidR="001D02CA" w:rsidRDefault="001D02CA">
      <w:pPr>
        <w:pStyle w:val="Standard"/>
      </w:pPr>
    </w:p>
    <w:p w:rsidR="001D02CA" w:rsidRDefault="00AA31E9">
      <w:pPr>
        <w:pStyle w:val="Standard"/>
        <w:jc w:val="both"/>
      </w:pPr>
      <w:r>
        <w:t xml:space="preserve">- </w:t>
      </w:r>
      <w:r>
        <w:rPr>
          <w:b/>
          <w:bCs/>
        </w:rPr>
        <w:t>1943</w:t>
      </w:r>
      <w:r>
        <w:t> : fusion avec les autres grands mouvements de Résistance (Combat et Francs-Tireurs</w:t>
      </w:r>
      <w:r>
        <w:t>) et participation au Conseil National de la Résistance (CNR</w:t>
      </w:r>
      <w:r w:rsidRPr="00CA2F15">
        <w:t xml:space="preserve">) </w:t>
      </w:r>
      <w:r w:rsidRPr="00CA2F15">
        <w:t>(voir documents 5A et 5B)</w:t>
      </w:r>
      <w:r w:rsidRPr="00CA2F15">
        <w:t>.</w:t>
      </w:r>
    </w:p>
    <w:p w:rsidR="001D02CA" w:rsidRDefault="001D02CA">
      <w:pPr>
        <w:pStyle w:val="Standard"/>
        <w:jc w:val="both"/>
      </w:pPr>
    </w:p>
    <w:p w:rsidR="001D02CA" w:rsidRDefault="001D02CA">
      <w:pPr>
        <w:pStyle w:val="Standard"/>
        <w:jc w:val="both"/>
      </w:pPr>
    </w:p>
    <w:p w:rsidR="001D02CA" w:rsidRDefault="00AA31E9"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r>
        <w:rPr>
          <w:b/>
          <w:bCs/>
          <w:i/>
          <w:iCs/>
          <w:sz w:val="28"/>
          <w:szCs w:val="28"/>
        </w:rPr>
        <w:t>Document 1</w:t>
      </w:r>
      <w:r>
        <w:rPr>
          <w:sz w:val="28"/>
          <w:szCs w:val="28"/>
        </w:rPr>
        <w:t> </w:t>
      </w:r>
      <w:proofErr w:type="gramStart"/>
      <w:r>
        <w:rPr>
          <w:sz w:val="28"/>
          <w:szCs w:val="28"/>
        </w:rPr>
        <w:t>:  Affiche</w:t>
      </w:r>
      <w:proofErr w:type="gramEnd"/>
      <w:r>
        <w:rPr>
          <w:sz w:val="28"/>
          <w:szCs w:val="28"/>
        </w:rPr>
        <w:t xml:space="preserve"> « Nous Voulons », juin-juillet 1942. </w:t>
      </w:r>
    </w:p>
    <w:p w:rsidR="001D02CA" w:rsidRDefault="00CA2F15"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r>
        <w:rPr>
          <w:noProof/>
          <w:sz w:val="28"/>
          <w:szCs w:val="28"/>
          <w:lang w:eastAsia="fr-FR" w:bidi="ar-SA"/>
        </w:rPr>
        <w:drawing>
          <wp:anchor distT="0" distB="3810" distL="114300" distR="114300" simplePos="0" relativeHeight="2" behindDoc="0" locked="0" layoutInCell="1" allowOverlap="1" wp14:anchorId="45FE8D9A" wp14:editId="518B1686">
            <wp:simplePos x="0" y="0"/>
            <wp:positionH relativeFrom="column">
              <wp:posOffset>1137285</wp:posOffset>
            </wp:positionH>
            <wp:positionV relativeFrom="paragraph">
              <wp:posOffset>107950</wp:posOffset>
            </wp:positionV>
            <wp:extent cx="4114800" cy="4817110"/>
            <wp:effectExtent l="0" t="0" r="0" b="2540"/>
            <wp:wrapSquare wrapText="bothSides"/>
            <wp:docPr id="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
                    <pic:cNvPicPr>
                      <a:picLocks noChangeAspect="1" noChangeArrowheads="1"/>
                    </pic:cNvPicPr>
                  </pic:nvPicPr>
                  <pic:blipFill>
                    <a:blip r:embed="rId4"/>
                    <a:stretch>
                      <a:fillRect/>
                    </a:stretch>
                  </pic:blipFill>
                  <pic:spPr bwMode="auto">
                    <a:xfrm>
                      <a:off x="0" y="0"/>
                      <a:ext cx="4114800" cy="4817110"/>
                    </a:xfrm>
                    <a:prstGeom prst="rect">
                      <a:avLst/>
                    </a:prstGeom>
                  </pic:spPr>
                </pic:pic>
              </a:graphicData>
            </a:graphic>
            <wp14:sizeRelH relativeFrom="margin">
              <wp14:pctWidth>0</wp14:pctWidth>
            </wp14:sizeRelH>
            <wp14:sizeRelV relativeFrom="margin">
              <wp14:pctHeight>0</wp14:pctHeight>
            </wp14:sizeRelV>
          </wp:anchor>
        </w:drawing>
      </w: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3D4230" w:rsidRDefault="003D4230"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3D4230" w:rsidRDefault="003D4230"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3D4230" w:rsidRDefault="003D4230"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3D4230" w:rsidRDefault="003D4230"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1D02CA" w:rsidP="00CA2F15">
      <w:pPr>
        <w:pStyle w:val="Standard"/>
        <w:pBdr>
          <w:top w:val="single" w:sz="2" w:space="1" w:color="000001"/>
          <w:left w:val="single" w:sz="2" w:space="1" w:color="000001"/>
          <w:bottom w:val="single" w:sz="2" w:space="2" w:color="000001"/>
          <w:right w:val="single" w:sz="2" w:space="1" w:color="000001"/>
        </w:pBdr>
        <w:jc w:val="both"/>
        <w:rPr>
          <w:sz w:val="28"/>
          <w:szCs w:val="28"/>
        </w:rPr>
      </w:pP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lastRenderedPageBreak/>
        <w:t>Document 2</w:t>
      </w:r>
      <w:r>
        <w:rPr>
          <w:sz w:val="28"/>
          <w:szCs w:val="28"/>
        </w:rPr>
        <w:t xml:space="preserve"> : Pourquoi s'engager ?, </w:t>
      </w:r>
      <w:r>
        <w:rPr>
          <w:sz w:val="28"/>
          <w:szCs w:val="28"/>
        </w:rPr>
        <w:t xml:space="preserve">Henri Frenay, La Nuit finira, Mémoires de </w:t>
      </w:r>
      <w:proofErr w:type="gramStart"/>
      <w:r>
        <w:rPr>
          <w:sz w:val="28"/>
          <w:szCs w:val="28"/>
        </w:rPr>
        <w:t>Résistance ,</w:t>
      </w:r>
      <w:proofErr w:type="gramEnd"/>
      <w:r>
        <w:rPr>
          <w:sz w:val="28"/>
          <w:szCs w:val="28"/>
        </w:rPr>
        <w:t xml:space="preserve"> 1940-1945 (1973), Michalon, 2006.</w:t>
      </w:r>
    </w:p>
    <w:p w:rsidR="001D02CA" w:rsidRDefault="001D02CA">
      <w:pPr>
        <w:pStyle w:val="Standard"/>
        <w:pBdr>
          <w:top w:val="single" w:sz="2" w:space="1" w:color="000001"/>
          <w:left w:val="single" w:sz="2" w:space="1" w:color="000001"/>
          <w:bottom w:val="single" w:sz="2" w:space="1" w:color="000001"/>
          <w:right w:val="single" w:sz="2" w:space="1" w:color="000001"/>
        </w:pBdr>
        <w:jc w:val="both"/>
        <w:rPr>
          <w:sz w:val="28"/>
          <w:szCs w:val="28"/>
        </w:rPr>
      </w:pP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sz w:val="28"/>
          <w:szCs w:val="28"/>
        </w:rPr>
        <w:tab/>
        <w:t>« Depuis juillet 1940, j'ai beaucoup évolué […]. A cette époque, s'engager dans la lutte contre le nazisme et espérer en Pétain</w:t>
      </w:r>
      <w:r>
        <w:rPr>
          <w:sz w:val="28"/>
          <w:szCs w:val="28"/>
        </w:rPr>
        <w:t xml:space="preserve"> </w:t>
      </w:r>
      <w:r>
        <w:rPr>
          <w:sz w:val="28"/>
          <w:szCs w:val="28"/>
        </w:rPr>
        <w:t>n'était nul</w:t>
      </w:r>
      <w:r>
        <w:rPr>
          <w:sz w:val="28"/>
          <w:szCs w:val="28"/>
        </w:rPr>
        <w:t>lement contradictoire […]. Puis, au fur et à mesure que le gouvernement du Maréchal cédait aux exigences allemandes</w:t>
      </w:r>
      <w:r w:rsidR="006F7952">
        <w:rPr>
          <w:sz w:val="28"/>
          <w:szCs w:val="28"/>
        </w:rPr>
        <w:t xml:space="preserve"> (1)</w:t>
      </w:r>
      <w:r>
        <w:rPr>
          <w:sz w:val="28"/>
          <w:szCs w:val="28"/>
        </w:rPr>
        <w:t xml:space="preserve">, […] le fossé s'est creusé entre lui et nous, […] et s'est opéré un rapprochement avec les Forces françaises libres </w:t>
      </w:r>
      <w:r>
        <w:rPr>
          <w:sz w:val="28"/>
          <w:szCs w:val="28"/>
        </w:rPr>
        <w:t>et leur chef, le général de Gaulle</w:t>
      </w:r>
      <w:r w:rsidR="006F7952">
        <w:rPr>
          <w:sz w:val="28"/>
          <w:szCs w:val="28"/>
        </w:rPr>
        <w:t xml:space="preserve"> (2)</w:t>
      </w:r>
      <w:r>
        <w:rPr>
          <w:sz w:val="28"/>
          <w:szCs w:val="28"/>
        </w:rPr>
        <w:t>. Dès la fin du printemps 1941, j'en avais ressenti le besoin […] pour éviter l'émiettement</w:t>
      </w:r>
      <w:r w:rsidR="006F7952">
        <w:rPr>
          <w:sz w:val="28"/>
          <w:szCs w:val="28"/>
        </w:rPr>
        <w:t xml:space="preserve"> (3)</w:t>
      </w:r>
      <w:r>
        <w:rPr>
          <w:sz w:val="28"/>
          <w:szCs w:val="28"/>
        </w:rPr>
        <w:t xml:space="preserve"> </w:t>
      </w:r>
      <w:r>
        <w:rPr>
          <w:sz w:val="28"/>
          <w:szCs w:val="28"/>
        </w:rPr>
        <w:t>de la Résistance en groupes et groupuscules […] C'est autour d</w:t>
      </w:r>
      <w:r>
        <w:rPr>
          <w:sz w:val="28"/>
          <w:szCs w:val="28"/>
        </w:rPr>
        <w:t>e de Gaulle, pensais-je, qu'il faut se rassembler ».</w:t>
      </w:r>
    </w:p>
    <w:p w:rsidR="00CA2F15" w:rsidRDefault="00CA2F15" w:rsidP="00CA2F15">
      <w:pPr>
        <w:pStyle w:val="Standard"/>
        <w:jc w:val="both"/>
        <w:rPr>
          <w:sz w:val="28"/>
          <w:szCs w:val="28"/>
        </w:rPr>
      </w:pPr>
    </w:p>
    <w:p w:rsidR="006F7952" w:rsidRDefault="006F7952">
      <w:pPr>
        <w:pStyle w:val="Standard"/>
        <w:jc w:val="both"/>
        <w:rPr>
          <w:sz w:val="28"/>
          <w:szCs w:val="28"/>
        </w:rPr>
      </w:pPr>
    </w:p>
    <w:p w:rsidR="001D02CA" w:rsidRPr="006F7952" w:rsidRDefault="006F7952">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w:t>
      </w:r>
      <w:r w:rsidR="00AA31E9">
        <w:rPr>
          <w:b/>
          <w:bCs/>
          <w:i/>
          <w:iCs/>
          <w:sz w:val="28"/>
          <w:szCs w:val="28"/>
        </w:rPr>
        <w:t>ment 3</w:t>
      </w:r>
      <w:r w:rsidR="00AA31E9">
        <w:rPr>
          <w:sz w:val="28"/>
          <w:szCs w:val="28"/>
        </w:rPr>
        <w:t> : Résister pour des valeurs, Article paru dans Combat, n°34, septembre 1942.</w:t>
      </w: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sz w:val="28"/>
          <w:szCs w:val="28"/>
        </w:rPr>
        <w:tab/>
        <w:t>« Le moment est venu d'exprimer le sens profond de notre combat. Nous nous battons contre l'</w:t>
      </w:r>
      <w:r>
        <w:rPr>
          <w:sz w:val="28"/>
          <w:szCs w:val="28"/>
        </w:rPr>
        <w:t xml:space="preserve">Allemagne et contre ses alliés qu'ils soient à Rome, à Tokyo </w:t>
      </w:r>
      <w:r w:rsidRPr="003D4230">
        <w:rPr>
          <w:sz w:val="28"/>
          <w:szCs w:val="28"/>
        </w:rPr>
        <w:t>(</w:t>
      </w:r>
      <w:r w:rsidR="003D4230" w:rsidRPr="003D4230">
        <w:rPr>
          <w:sz w:val="28"/>
          <w:szCs w:val="28"/>
        </w:rPr>
        <w:t>1</w:t>
      </w:r>
      <w:r w:rsidRPr="003D4230">
        <w:rPr>
          <w:sz w:val="28"/>
          <w:szCs w:val="28"/>
        </w:rPr>
        <w:t>)</w:t>
      </w:r>
      <w:r>
        <w:rPr>
          <w:sz w:val="28"/>
          <w:szCs w:val="28"/>
        </w:rPr>
        <w:t xml:space="preserve"> ou à Vichy. Mais à travers le nazisme, nous combattons aux côtés de toutes les nations </w:t>
      </w:r>
      <w:r w:rsidRPr="003D4230">
        <w:rPr>
          <w:sz w:val="28"/>
          <w:szCs w:val="28"/>
        </w:rPr>
        <w:t xml:space="preserve">meurtries </w:t>
      </w:r>
      <w:r w:rsidRPr="003D4230">
        <w:rPr>
          <w:sz w:val="28"/>
          <w:szCs w:val="28"/>
        </w:rPr>
        <w:t>(</w:t>
      </w:r>
      <w:r w:rsidR="003D4230">
        <w:rPr>
          <w:sz w:val="28"/>
          <w:szCs w:val="28"/>
        </w:rPr>
        <w:t>2</w:t>
      </w:r>
      <w:r w:rsidRPr="003D4230">
        <w:rPr>
          <w:sz w:val="28"/>
          <w:szCs w:val="28"/>
        </w:rPr>
        <w:t>)</w:t>
      </w:r>
      <w:r w:rsidRPr="003D4230">
        <w:rPr>
          <w:sz w:val="28"/>
          <w:szCs w:val="28"/>
        </w:rPr>
        <w:t>,</w:t>
      </w:r>
      <w:r>
        <w:rPr>
          <w:sz w:val="28"/>
          <w:szCs w:val="28"/>
        </w:rPr>
        <w:t xml:space="preserve"> pour qu</w:t>
      </w:r>
      <w:r>
        <w:rPr>
          <w:sz w:val="28"/>
          <w:szCs w:val="28"/>
        </w:rPr>
        <w:t>e dans l'effroyable épreuve que subit notre pays, soit enfanté un monde meilleur. Notre tâche ne s’arrêtera pas à la libération du territoire. Nous voulons au-delà reconstruire la France […]. Nous voulons une France libre, parce que la liberté est le premi</w:t>
      </w:r>
      <w:r>
        <w:rPr>
          <w:sz w:val="28"/>
          <w:szCs w:val="28"/>
        </w:rPr>
        <w:t>er des biens […]. Nous voulons une France juste parce que la justice […] protège la dignité de l'homme […]. Nous voulons une France honnête […]. Nous voulons la République, parce que depuis deux ans le sort de la République et de la Résistance sont liés.</w:t>
      </w:r>
    </w:p>
    <w:p w:rsidR="001D02CA" w:rsidRDefault="001D02CA">
      <w:pPr>
        <w:pStyle w:val="Standard"/>
        <w:pBdr>
          <w:top w:val="single" w:sz="2" w:space="1" w:color="000001"/>
          <w:left w:val="single" w:sz="2" w:space="1" w:color="000001"/>
          <w:bottom w:val="single" w:sz="2" w:space="1" w:color="000001"/>
          <w:right w:val="single" w:sz="2" w:space="1" w:color="000001"/>
        </w:pBdr>
        <w:jc w:val="both"/>
        <w:rPr>
          <w:sz w:val="28"/>
          <w:szCs w:val="28"/>
        </w:rPr>
      </w:pP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noProof/>
          <w:lang w:eastAsia="fr-FR" w:bidi="ar-SA"/>
        </w:rPr>
        <w:drawing>
          <wp:anchor distT="0" distB="0" distL="114300" distR="114300" simplePos="0" relativeHeight="4" behindDoc="0" locked="0" layoutInCell="1" allowOverlap="1">
            <wp:simplePos x="0" y="0"/>
            <wp:positionH relativeFrom="column">
              <wp:align>center</wp:align>
            </wp:positionH>
            <wp:positionV relativeFrom="paragraph">
              <wp:posOffset>635</wp:posOffset>
            </wp:positionV>
            <wp:extent cx="6120130" cy="2581275"/>
            <wp:effectExtent l="0" t="0" r="0" b="0"/>
            <wp:wrapSquare wrapText="bothSides"/>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5"/>
                    <a:srcRect b="35012"/>
                    <a:stretch>
                      <a:fillRect/>
                    </a:stretch>
                  </pic:blipFill>
                  <pic:spPr bwMode="auto">
                    <a:xfrm>
                      <a:off x="0" y="0"/>
                      <a:ext cx="6120130" cy="2581275"/>
                    </a:xfrm>
                    <a:prstGeom prst="rect">
                      <a:avLst/>
                    </a:prstGeom>
                  </pic:spPr>
                </pic:pic>
              </a:graphicData>
            </a:graphic>
          </wp:anchor>
        </w:drawing>
      </w:r>
      <w:r>
        <w:rPr>
          <w:sz w:val="28"/>
          <w:szCs w:val="28"/>
        </w:rPr>
        <w:t>Une du journal Combat, 15 novembre 1943.</w:t>
      </w:r>
    </w:p>
    <w:p w:rsidR="001D02CA" w:rsidRDefault="001D02CA">
      <w:pPr>
        <w:pStyle w:val="Standard"/>
        <w:jc w:val="both"/>
        <w:rPr>
          <w:sz w:val="28"/>
          <w:szCs w:val="28"/>
        </w:rPr>
      </w:pPr>
    </w:p>
    <w:p w:rsidR="003D4230" w:rsidRDefault="003D4230">
      <w:pPr>
        <w:pStyle w:val="Standard"/>
        <w:jc w:val="both"/>
        <w:rPr>
          <w:b/>
          <w:bCs/>
          <w:i/>
          <w:iCs/>
          <w:sz w:val="28"/>
          <w:szCs w:val="28"/>
        </w:rPr>
      </w:pPr>
    </w:p>
    <w:p w:rsidR="003D4230" w:rsidRDefault="003D4230">
      <w:pPr>
        <w:pStyle w:val="Standard"/>
        <w:jc w:val="both"/>
        <w:rPr>
          <w:b/>
          <w:bCs/>
          <w:i/>
          <w:iCs/>
          <w:sz w:val="28"/>
          <w:szCs w:val="28"/>
        </w:rPr>
      </w:pPr>
    </w:p>
    <w:p w:rsidR="001D02CA" w:rsidRDefault="00AA31E9">
      <w:pPr>
        <w:pStyle w:val="Standard"/>
        <w:jc w:val="both"/>
      </w:pPr>
      <w:r>
        <w:rPr>
          <w:b/>
          <w:bCs/>
          <w:i/>
          <w:iCs/>
          <w:sz w:val="28"/>
          <w:szCs w:val="28"/>
        </w:rPr>
        <w:lastRenderedPageBreak/>
        <w:t>Document 4</w:t>
      </w:r>
      <w:r>
        <w:rPr>
          <w:sz w:val="28"/>
          <w:szCs w:val="28"/>
        </w:rPr>
        <w:t> : L'organisation interne du mouvement Combat au début de 1943.</w:t>
      </w:r>
    </w:p>
    <w:p w:rsidR="001D02CA" w:rsidRDefault="001D02CA">
      <w:pPr>
        <w:pStyle w:val="Standard"/>
        <w:jc w:val="both"/>
        <w:rPr>
          <w:sz w:val="28"/>
          <w:szCs w:val="28"/>
        </w:rPr>
      </w:pPr>
    </w:p>
    <w:tbl>
      <w:tblPr>
        <w:tblW w:w="9638" w:type="dxa"/>
        <w:tblInd w:w="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2" w:type="dxa"/>
          <w:bottom w:w="55" w:type="dxa"/>
          <w:right w:w="55" w:type="dxa"/>
        </w:tblCellMar>
        <w:tblLook w:val="0000" w:firstRow="0" w:lastRow="0" w:firstColumn="0" w:lastColumn="0" w:noHBand="0" w:noVBand="0"/>
      </w:tblPr>
      <w:tblGrid>
        <w:gridCol w:w="3212"/>
        <w:gridCol w:w="3213"/>
        <w:gridCol w:w="3213"/>
      </w:tblGrid>
      <w:tr w:rsidR="001D02CA">
        <w:tc>
          <w:tcPr>
            <w:tcW w:w="9638" w:type="dxa"/>
            <w:gridSpan w:val="3"/>
            <w:tcBorders>
              <w:top w:val="single" w:sz="2" w:space="0" w:color="000001"/>
              <w:left w:val="single" w:sz="2" w:space="0" w:color="000001"/>
              <w:bottom w:val="single" w:sz="2" w:space="0" w:color="000001"/>
              <w:right w:val="single" w:sz="2" w:space="0" w:color="000001"/>
            </w:tcBorders>
            <w:shd w:val="clear" w:color="auto" w:fill="auto"/>
            <w:tcMar>
              <w:left w:w="52" w:type="dxa"/>
            </w:tcMar>
          </w:tcPr>
          <w:p w:rsidR="001D02CA" w:rsidRDefault="00AA31E9">
            <w:pPr>
              <w:pStyle w:val="Contenudetableau"/>
              <w:jc w:val="center"/>
              <w:rPr>
                <w:b/>
                <w:bCs/>
                <w:sz w:val="28"/>
                <w:szCs w:val="28"/>
              </w:rPr>
            </w:pPr>
            <w:r>
              <w:rPr>
                <w:b/>
                <w:bCs/>
                <w:sz w:val="28"/>
                <w:szCs w:val="28"/>
              </w:rPr>
              <w:t>Comité directeur présidé par Henri Frenay et basé à Lyon</w:t>
            </w:r>
          </w:p>
        </w:tc>
      </w:tr>
      <w:tr w:rsidR="001D02CA">
        <w:tc>
          <w:tcPr>
            <w:tcW w:w="3212" w:type="dxa"/>
            <w:tcBorders>
              <w:left w:val="single" w:sz="2" w:space="0" w:color="000001"/>
              <w:bottom w:val="single" w:sz="2" w:space="0" w:color="000001"/>
            </w:tcBorders>
            <w:shd w:val="clear" w:color="auto" w:fill="auto"/>
            <w:tcMar>
              <w:left w:w="52" w:type="dxa"/>
            </w:tcMar>
          </w:tcPr>
          <w:p w:rsidR="001D02CA" w:rsidRDefault="00AA31E9">
            <w:pPr>
              <w:pStyle w:val="Contenudetableau"/>
              <w:jc w:val="center"/>
            </w:pPr>
            <w:r>
              <w:rPr>
                <w:b/>
                <w:bCs/>
                <w:i/>
                <w:iCs/>
                <w:sz w:val="28"/>
                <w:szCs w:val="28"/>
              </w:rPr>
              <w:t>Services généraux</w:t>
            </w:r>
          </w:p>
        </w:tc>
        <w:tc>
          <w:tcPr>
            <w:tcW w:w="3213" w:type="dxa"/>
            <w:tcBorders>
              <w:left w:val="single" w:sz="2" w:space="0" w:color="000001"/>
              <w:bottom w:val="single" w:sz="2" w:space="0" w:color="000001"/>
            </w:tcBorders>
            <w:shd w:val="clear" w:color="auto" w:fill="auto"/>
            <w:tcMar>
              <w:left w:w="52" w:type="dxa"/>
            </w:tcMar>
          </w:tcPr>
          <w:p w:rsidR="001D02CA" w:rsidRDefault="00AA31E9">
            <w:pPr>
              <w:pStyle w:val="Contenudetableau"/>
              <w:jc w:val="center"/>
            </w:pPr>
            <w:r>
              <w:rPr>
                <w:b/>
                <w:bCs/>
                <w:i/>
                <w:iCs/>
                <w:sz w:val="28"/>
                <w:szCs w:val="28"/>
              </w:rPr>
              <w:t>Affaires politiques</w:t>
            </w:r>
          </w:p>
        </w:tc>
        <w:tc>
          <w:tcPr>
            <w:tcW w:w="3213" w:type="dxa"/>
            <w:tcBorders>
              <w:left w:val="single" w:sz="2" w:space="0" w:color="000001"/>
              <w:bottom w:val="single" w:sz="2" w:space="0" w:color="000001"/>
              <w:right w:val="single" w:sz="2" w:space="0" w:color="000001"/>
            </w:tcBorders>
            <w:shd w:val="clear" w:color="auto" w:fill="auto"/>
            <w:tcMar>
              <w:left w:w="52" w:type="dxa"/>
            </w:tcMar>
          </w:tcPr>
          <w:p w:rsidR="001D02CA" w:rsidRDefault="00AA31E9">
            <w:pPr>
              <w:pStyle w:val="Contenudetableau"/>
              <w:jc w:val="center"/>
            </w:pPr>
            <w:r>
              <w:rPr>
                <w:b/>
                <w:bCs/>
                <w:i/>
                <w:iCs/>
                <w:sz w:val="28"/>
                <w:szCs w:val="28"/>
              </w:rPr>
              <w:t>Affaires militaires</w:t>
            </w:r>
          </w:p>
        </w:tc>
      </w:tr>
      <w:tr w:rsidR="001D02CA">
        <w:tc>
          <w:tcPr>
            <w:tcW w:w="3212" w:type="dxa"/>
            <w:tcBorders>
              <w:left w:val="single" w:sz="2" w:space="0" w:color="000001"/>
              <w:bottom w:val="single" w:sz="2" w:space="0" w:color="000001"/>
            </w:tcBorders>
            <w:shd w:val="clear" w:color="auto" w:fill="auto"/>
            <w:tcMar>
              <w:left w:w="52" w:type="dxa"/>
            </w:tcMar>
          </w:tcPr>
          <w:p w:rsidR="001D02CA" w:rsidRDefault="00AA31E9">
            <w:pPr>
              <w:pStyle w:val="Contenudetableau"/>
              <w:jc w:val="both"/>
              <w:rPr>
                <w:sz w:val="28"/>
                <w:szCs w:val="28"/>
              </w:rPr>
            </w:pPr>
            <w:r>
              <w:rPr>
                <w:sz w:val="28"/>
                <w:szCs w:val="28"/>
              </w:rPr>
              <w:t>Logement</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Faux-papiers</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Liaison</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Service financier</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Service social</w:t>
            </w:r>
          </w:p>
        </w:tc>
        <w:tc>
          <w:tcPr>
            <w:tcW w:w="3213" w:type="dxa"/>
            <w:tcBorders>
              <w:left w:val="single" w:sz="2" w:space="0" w:color="000001"/>
              <w:bottom w:val="single" w:sz="2" w:space="0" w:color="000001"/>
            </w:tcBorders>
            <w:shd w:val="clear" w:color="auto" w:fill="auto"/>
            <w:tcMar>
              <w:left w:w="52" w:type="dxa"/>
            </w:tcMar>
          </w:tcPr>
          <w:p w:rsidR="001D02CA" w:rsidRDefault="00AA31E9">
            <w:pPr>
              <w:pStyle w:val="Contenudetableau"/>
              <w:jc w:val="both"/>
              <w:rPr>
                <w:sz w:val="28"/>
                <w:szCs w:val="28"/>
              </w:rPr>
            </w:pPr>
            <w:r>
              <w:rPr>
                <w:sz w:val="28"/>
                <w:szCs w:val="28"/>
              </w:rPr>
              <w:t>Recrutement</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Propagande</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Renseignements</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Noyautage des administrations publiques</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Groupes d'études</w:t>
            </w:r>
          </w:p>
        </w:tc>
        <w:tc>
          <w:tcPr>
            <w:tcW w:w="3213" w:type="dxa"/>
            <w:tcBorders>
              <w:left w:val="single" w:sz="2" w:space="0" w:color="000001"/>
              <w:bottom w:val="single" w:sz="2" w:space="0" w:color="000001"/>
              <w:right w:val="single" w:sz="2" w:space="0" w:color="000001"/>
            </w:tcBorders>
            <w:shd w:val="clear" w:color="auto" w:fill="auto"/>
            <w:tcMar>
              <w:left w:w="52" w:type="dxa"/>
            </w:tcMar>
          </w:tcPr>
          <w:p w:rsidR="001D02CA" w:rsidRDefault="00AA31E9">
            <w:pPr>
              <w:pStyle w:val="Contenudetableau"/>
              <w:jc w:val="both"/>
              <w:rPr>
                <w:sz w:val="28"/>
                <w:szCs w:val="28"/>
              </w:rPr>
            </w:pPr>
            <w:r>
              <w:rPr>
                <w:sz w:val="28"/>
                <w:szCs w:val="28"/>
              </w:rPr>
              <w:t>Groupes armés chargés des attentats et des exécutions</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Armée secrète</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Maquis</w:t>
            </w:r>
          </w:p>
          <w:p w:rsidR="001D02CA" w:rsidRDefault="001D02CA">
            <w:pPr>
              <w:pStyle w:val="Contenudetableau"/>
              <w:jc w:val="both"/>
              <w:rPr>
                <w:sz w:val="28"/>
                <w:szCs w:val="28"/>
              </w:rPr>
            </w:pPr>
          </w:p>
          <w:p w:rsidR="001D02CA" w:rsidRDefault="00AA31E9">
            <w:pPr>
              <w:pStyle w:val="Contenudetableau"/>
              <w:jc w:val="both"/>
              <w:rPr>
                <w:sz w:val="28"/>
                <w:szCs w:val="28"/>
              </w:rPr>
            </w:pPr>
            <w:r>
              <w:rPr>
                <w:sz w:val="28"/>
                <w:szCs w:val="28"/>
              </w:rPr>
              <w:t xml:space="preserve">Services des </w:t>
            </w:r>
            <w:r>
              <w:rPr>
                <w:sz w:val="28"/>
                <w:szCs w:val="28"/>
              </w:rPr>
              <w:t>opérations aériennes et maritimes</w:t>
            </w:r>
          </w:p>
        </w:tc>
      </w:tr>
    </w:tbl>
    <w:p w:rsidR="003D4230" w:rsidRDefault="003D4230">
      <w:pPr>
        <w:pStyle w:val="Standard"/>
        <w:jc w:val="both"/>
        <w:rPr>
          <w:sz w:val="28"/>
          <w:szCs w:val="28"/>
        </w:rPr>
      </w:pPr>
    </w:p>
    <w:p w:rsidR="001D02CA" w:rsidRDefault="001D02CA">
      <w:pPr>
        <w:pStyle w:val="Standard"/>
        <w:jc w:val="both"/>
        <w:rPr>
          <w:sz w:val="28"/>
          <w:szCs w:val="28"/>
        </w:rPr>
      </w:pP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Document 5</w:t>
      </w:r>
      <w:r>
        <w:rPr>
          <w:sz w:val="28"/>
          <w:szCs w:val="28"/>
        </w:rPr>
        <w:t xml:space="preserve"> : Une femme dans la Résistance, biographie de Marie </w:t>
      </w:r>
      <w:proofErr w:type="spellStart"/>
      <w:r>
        <w:rPr>
          <w:sz w:val="28"/>
          <w:szCs w:val="28"/>
        </w:rPr>
        <w:t>Reynoard</w:t>
      </w:r>
      <w:proofErr w:type="spellEnd"/>
      <w:r>
        <w:rPr>
          <w:sz w:val="28"/>
          <w:szCs w:val="28"/>
        </w:rPr>
        <w:t xml:space="preserve"> (1897 - 1945).</w:t>
      </w:r>
    </w:p>
    <w:p w:rsidR="001D02CA" w:rsidRDefault="001D02CA">
      <w:pPr>
        <w:pStyle w:val="Standard"/>
        <w:pBdr>
          <w:top w:val="single" w:sz="2" w:space="1" w:color="000001"/>
          <w:left w:val="single" w:sz="2" w:space="1" w:color="000001"/>
          <w:bottom w:val="single" w:sz="2" w:space="1" w:color="000001"/>
          <w:right w:val="single" w:sz="2" w:space="1" w:color="000001"/>
        </w:pBdr>
        <w:jc w:val="both"/>
        <w:rPr>
          <w:sz w:val="28"/>
          <w:szCs w:val="28"/>
        </w:rPr>
      </w:pPr>
    </w:p>
    <w:p w:rsidR="001D02CA" w:rsidRDefault="00AA31E9">
      <w:pPr>
        <w:pStyle w:val="Standard"/>
        <w:pBdr>
          <w:top w:val="single" w:sz="2" w:space="1" w:color="000001"/>
          <w:left w:val="single" w:sz="2" w:space="1" w:color="000001"/>
          <w:bottom w:val="single" w:sz="2" w:space="1" w:color="000001"/>
          <w:right w:val="single" w:sz="2" w:space="1" w:color="000001"/>
        </w:pBdr>
        <w:jc w:val="both"/>
        <w:rPr>
          <w:sz w:val="28"/>
          <w:szCs w:val="28"/>
        </w:rPr>
      </w:pPr>
      <w:r>
        <w:rPr>
          <w:noProof/>
          <w:sz w:val="28"/>
          <w:szCs w:val="28"/>
          <w:lang w:eastAsia="fr-FR" w:bidi="ar-SA"/>
        </w:rPr>
        <w:drawing>
          <wp:anchor distT="0" distB="0" distL="114300" distR="114300" simplePos="0" relativeHeight="5" behindDoc="0" locked="0" layoutInCell="1" allowOverlap="1">
            <wp:simplePos x="0" y="0"/>
            <wp:positionH relativeFrom="column">
              <wp:posOffset>26035</wp:posOffset>
            </wp:positionH>
            <wp:positionV relativeFrom="paragraph">
              <wp:posOffset>43180</wp:posOffset>
            </wp:positionV>
            <wp:extent cx="1490345" cy="1836420"/>
            <wp:effectExtent l="0" t="0" r="0" b="0"/>
            <wp:wrapSquare wrapText="bothSides"/>
            <wp:docPr id="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
                    <pic:cNvPicPr>
                      <a:picLocks noChangeAspect="1" noChangeArrowheads="1"/>
                    </pic:cNvPicPr>
                  </pic:nvPicPr>
                  <pic:blipFill>
                    <a:blip r:embed="rId6"/>
                    <a:stretch>
                      <a:fillRect/>
                    </a:stretch>
                  </pic:blipFill>
                  <pic:spPr bwMode="auto">
                    <a:xfrm>
                      <a:off x="0" y="0"/>
                      <a:ext cx="1490345" cy="1836420"/>
                    </a:xfrm>
                    <a:prstGeom prst="rect">
                      <a:avLst/>
                    </a:prstGeom>
                  </pic:spPr>
                </pic:pic>
              </a:graphicData>
            </a:graphic>
          </wp:anchor>
        </w:drawing>
      </w: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sz w:val="28"/>
          <w:szCs w:val="28"/>
        </w:rPr>
        <w:t xml:space="preserve">Professeur de lettres à Grenoble, Marie </w:t>
      </w:r>
      <w:proofErr w:type="spellStart"/>
      <w:r>
        <w:rPr>
          <w:sz w:val="28"/>
          <w:szCs w:val="28"/>
        </w:rPr>
        <w:t>Reynoard</w:t>
      </w:r>
      <w:proofErr w:type="spellEnd"/>
      <w:r>
        <w:rPr>
          <w:sz w:val="28"/>
          <w:szCs w:val="28"/>
        </w:rPr>
        <w:t xml:space="preserve"> rejoint la Résistance dès juin 1940, sous le pseudonyme de « Claude ». En</w:t>
      </w:r>
      <w:r>
        <w:rPr>
          <w:sz w:val="28"/>
          <w:szCs w:val="28"/>
        </w:rPr>
        <w:t xml:space="preserve"> 1941, elle rencontre Henry Frenay et fonde avec lui le journal Combat. Elle participe à de multiples actions : distribution de tracts et de journaux clandestins, recrutement de résistants, apprentissage des règles du sabotage, peinture de croix de Lorrain</w:t>
      </w:r>
      <w:r>
        <w:rPr>
          <w:sz w:val="28"/>
          <w:szCs w:val="28"/>
        </w:rPr>
        <w:t>e (symbole du gaullisme) et du C de combat… Ar</w:t>
      </w:r>
      <w:r w:rsidR="003D4230">
        <w:rPr>
          <w:sz w:val="28"/>
          <w:szCs w:val="28"/>
        </w:rPr>
        <w:t xml:space="preserve">rêté en mai 1943 par la Gestapo </w:t>
      </w:r>
      <w:r w:rsidR="003D4230" w:rsidRPr="003D4230">
        <w:rPr>
          <w:sz w:val="28"/>
          <w:szCs w:val="28"/>
        </w:rPr>
        <w:t>(1</w:t>
      </w:r>
      <w:r w:rsidRPr="003D4230">
        <w:rPr>
          <w:sz w:val="28"/>
          <w:szCs w:val="28"/>
        </w:rPr>
        <w:t>)</w:t>
      </w:r>
      <w:r w:rsidRPr="003D4230">
        <w:rPr>
          <w:sz w:val="28"/>
          <w:szCs w:val="28"/>
        </w:rPr>
        <w:t>,</w:t>
      </w:r>
      <w:r>
        <w:rPr>
          <w:sz w:val="28"/>
          <w:szCs w:val="28"/>
        </w:rPr>
        <w:t xml:space="preserve"> elle est torturée puis déportée au camp de Ravensbrück, en Allemagne. Mordue par un chien lancé sur elle par les gardes du camp, elle meurt d'une sept</w:t>
      </w:r>
      <w:r>
        <w:rPr>
          <w:sz w:val="28"/>
          <w:szCs w:val="28"/>
        </w:rPr>
        <w:t>icémie (infection généralisée) en janvier 1945.</w:t>
      </w:r>
    </w:p>
    <w:p w:rsidR="001D02CA" w:rsidRDefault="001D02CA">
      <w:pPr>
        <w:pStyle w:val="Standard"/>
        <w:jc w:val="both"/>
        <w:rPr>
          <w:sz w:val="28"/>
          <w:szCs w:val="28"/>
        </w:rPr>
      </w:pPr>
    </w:p>
    <w:p w:rsidR="001D02CA" w:rsidRDefault="001D02CA">
      <w:pPr>
        <w:pStyle w:val="Standard"/>
        <w:jc w:val="both"/>
        <w:rPr>
          <w:sz w:val="28"/>
          <w:szCs w:val="28"/>
        </w:rPr>
      </w:pPr>
    </w:p>
    <w:p w:rsidR="001D02CA" w:rsidRDefault="001D02CA">
      <w:pPr>
        <w:pStyle w:val="Standard"/>
        <w:jc w:val="both"/>
        <w:rPr>
          <w:sz w:val="28"/>
          <w:szCs w:val="28"/>
        </w:rPr>
      </w:pPr>
    </w:p>
    <w:p w:rsidR="001D02CA" w:rsidRDefault="001D02CA">
      <w:pPr>
        <w:pStyle w:val="Standard"/>
        <w:jc w:val="both"/>
        <w:rPr>
          <w:sz w:val="28"/>
          <w:szCs w:val="28"/>
        </w:rPr>
      </w:pPr>
    </w:p>
    <w:p w:rsidR="001D02CA" w:rsidRDefault="001D02CA">
      <w:pPr>
        <w:pStyle w:val="Standard"/>
        <w:jc w:val="both"/>
        <w:rPr>
          <w:sz w:val="28"/>
          <w:szCs w:val="28"/>
        </w:rPr>
      </w:pPr>
    </w:p>
    <w:p w:rsidR="001D02CA" w:rsidRDefault="001D02CA">
      <w:pPr>
        <w:pStyle w:val="Standard"/>
        <w:jc w:val="both"/>
        <w:rPr>
          <w:sz w:val="28"/>
          <w:szCs w:val="28"/>
        </w:rPr>
      </w:pPr>
    </w:p>
    <w:p w:rsidR="001D02CA" w:rsidRDefault="001D02CA">
      <w:pPr>
        <w:pStyle w:val="Standard"/>
        <w:jc w:val="both"/>
        <w:rPr>
          <w:sz w:val="28"/>
          <w:szCs w:val="28"/>
        </w:rPr>
      </w:pPr>
    </w:p>
    <w:p w:rsidR="001D02CA" w:rsidRDefault="001D02CA">
      <w:pPr>
        <w:pStyle w:val="Standard"/>
        <w:jc w:val="both"/>
        <w:rPr>
          <w:sz w:val="28"/>
          <w:szCs w:val="28"/>
        </w:rPr>
      </w:pPr>
    </w:p>
    <w:p w:rsidR="003D4230" w:rsidRDefault="003D4230">
      <w:pPr>
        <w:pStyle w:val="Standard"/>
        <w:jc w:val="both"/>
        <w:rPr>
          <w:sz w:val="28"/>
          <w:szCs w:val="28"/>
        </w:rPr>
      </w:pP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lastRenderedPageBreak/>
        <w:t>Document 6a </w:t>
      </w:r>
      <w:r>
        <w:rPr>
          <w:sz w:val="28"/>
          <w:szCs w:val="28"/>
        </w:rPr>
        <w:t xml:space="preserve">: </w:t>
      </w:r>
      <w:r>
        <w:rPr>
          <w:i/>
          <w:iCs/>
          <w:sz w:val="28"/>
          <w:szCs w:val="28"/>
        </w:rPr>
        <w:t>Ordre de mission</w:t>
      </w:r>
      <w:r>
        <w:rPr>
          <w:sz w:val="28"/>
          <w:szCs w:val="28"/>
        </w:rPr>
        <w:t xml:space="preserve"> donné par le Général de Gaulle à Jean Moulin, à Londres, le 24 décembre 1941, </w:t>
      </w:r>
      <w:r>
        <w:rPr>
          <w:i/>
          <w:iCs/>
          <w:sz w:val="28"/>
          <w:szCs w:val="28"/>
        </w:rPr>
        <w:t>Discours et messages</w:t>
      </w:r>
      <w:r>
        <w:rPr>
          <w:sz w:val="28"/>
          <w:szCs w:val="28"/>
        </w:rPr>
        <w:t>, Plon.</w:t>
      </w:r>
    </w:p>
    <w:p w:rsidR="001D02CA" w:rsidRDefault="001D02CA">
      <w:pPr>
        <w:pStyle w:val="Standard"/>
        <w:pBdr>
          <w:top w:val="single" w:sz="2" w:space="1" w:color="000001"/>
          <w:left w:val="single" w:sz="2" w:space="1" w:color="000001"/>
          <w:bottom w:val="single" w:sz="2" w:space="1" w:color="000001"/>
          <w:right w:val="single" w:sz="2" w:space="1" w:color="000001"/>
        </w:pBdr>
        <w:jc w:val="both"/>
        <w:rPr>
          <w:sz w:val="28"/>
          <w:szCs w:val="28"/>
        </w:rPr>
      </w:pP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sz w:val="28"/>
          <w:szCs w:val="28"/>
        </w:rPr>
        <w:t>« Je désigne M. Jean Moulin, préfet, comme mon représentant et</w:t>
      </w:r>
      <w:r>
        <w:rPr>
          <w:sz w:val="28"/>
          <w:szCs w:val="28"/>
        </w:rPr>
        <w:t xml:space="preserve"> comme délégué du Comité National Français, pour la zone non directement occupée de la métropole </w:t>
      </w:r>
      <w:r w:rsidRPr="003D4230">
        <w:rPr>
          <w:sz w:val="28"/>
          <w:szCs w:val="28"/>
        </w:rPr>
        <w:t>(</w:t>
      </w:r>
      <w:r w:rsidR="003D4230" w:rsidRPr="003D4230">
        <w:rPr>
          <w:sz w:val="28"/>
          <w:szCs w:val="28"/>
        </w:rPr>
        <w:t>1</w:t>
      </w:r>
      <w:r w:rsidRPr="003D4230">
        <w:rPr>
          <w:sz w:val="28"/>
          <w:szCs w:val="28"/>
        </w:rPr>
        <w:t>)</w:t>
      </w:r>
      <w:r>
        <w:rPr>
          <w:sz w:val="28"/>
          <w:szCs w:val="28"/>
        </w:rPr>
        <w:t>. Il a pour mission de réaliser dans cette zone l'unité d'action de tous les éléments qui résistent à l'ennemi et à se</w:t>
      </w:r>
      <w:r>
        <w:rPr>
          <w:sz w:val="28"/>
          <w:szCs w:val="28"/>
        </w:rPr>
        <w:t>s collaborateurs. Il me rendra compte directement de l’exécution de sa mission. »</w:t>
      </w:r>
    </w:p>
    <w:p w:rsidR="001D02CA" w:rsidRDefault="001D02CA">
      <w:pPr>
        <w:pStyle w:val="Standard"/>
        <w:jc w:val="both"/>
        <w:rPr>
          <w:sz w:val="28"/>
          <w:szCs w:val="28"/>
        </w:rPr>
      </w:pPr>
    </w:p>
    <w:p w:rsidR="001D02CA" w:rsidRDefault="001D02CA">
      <w:pPr>
        <w:pStyle w:val="Standard"/>
        <w:jc w:val="both"/>
        <w:rPr>
          <w:sz w:val="28"/>
          <w:szCs w:val="28"/>
        </w:rPr>
      </w:pP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Document 6b</w:t>
      </w:r>
      <w:r>
        <w:rPr>
          <w:sz w:val="28"/>
          <w:szCs w:val="28"/>
        </w:rPr>
        <w:t xml:space="preserve"> : </w:t>
      </w:r>
      <w:r>
        <w:rPr>
          <w:i/>
          <w:iCs/>
          <w:sz w:val="28"/>
          <w:szCs w:val="28"/>
        </w:rPr>
        <w:t>Lettre</w:t>
      </w:r>
      <w:r>
        <w:rPr>
          <w:sz w:val="28"/>
          <w:szCs w:val="28"/>
        </w:rPr>
        <w:t xml:space="preserve"> du 22 octobre 1942 envoyé de Londres et portant le cachet « TRES SECRET », </w:t>
      </w:r>
      <w:r>
        <w:rPr>
          <w:i/>
          <w:iCs/>
          <w:sz w:val="28"/>
          <w:szCs w:val="28"/>
        </w:rPr>
        <w:t>Discours et messages</w:t>
      </w:r>
      <w:r>
        <w:rPr>
          <w:sz w:val="28"/>
          <w:szCs w:val="28"/>
        </w:rPr>
        <w:t xml:space="preserve">, Plon.   </w:t>
      </w:r>
    </w:p>
    <w:p w:rsidR="001D02CA" w:rsidRDefault="001D02CA">
      <w:pPr>
        <w:pStyle w:val="Standard"/>
        <w:pBdr>
          <w:top w:val="single" w:sz="2" w:space="1" w:color="000001"/>
          <w:left w:val="single" w:sz="2" w:space="1" w:color="000001"/>
          <w:bottom w:val="single" w:sz="2" w:space="1" w:color="000001"/>
          <w:right w:val="single" w:sz="2" w:space="1" w:color="000001"/>
        </w:pBdr>
        <w:jc w:val="both"/>
      </w:pPr>
    </w:p>
    <w:p w:rsidR="001D02CA" w:rsidRDefault="00AA31E9">
      <w:pPr>
        <w:pStyle w:val="Standard"/>
        <w:pBdr>
          <w:top w:val="single" w:sz="2" w:space="1" w:color="000001"/>
          <w:left w:val="single" w:sz="2" w:space="1" w:color="000001"/>
          <w:bottom w:val="single" w:sz="2" w:space="1" w:color="000001"/>
          <w:right w:val="single" w:sz="2" w:space="1" w:color="000001"/>
        </w:pBdr>
        <w:jc w:val="both"/>
      </w:pPr>
      <w:r>
        <w:rPr>
          <w:sz w:val="28"/>
          <w:szCs w:val="28"/>
        </w:rPr>
        <w:t>« Toutes les organisations de résistance ser</w:t>
      </w:r>
      <w:r>
        <w:rPr>
          <w:sz w:val="28"/>
          <w:szCs w:val="28"/>
        </w:rPr>
        <w:t>ont invitées à verser leurs groupes d'action dans les unités de l'Armée secrète en cours de constitution. Il convient en effet d'éviter la prolifération de multiples petites organisations qui risqueraient de se gêner mutuellement, de susciter des rivalités</w:t>
      </w:r>
      <w:r>
        <w:rPr>
          <w:sz w:val="28"/>
          <w:szCs w:val="28"/>
        </w:rPr>
        <w:t xml:space="preserve"> et de créer la confusion</w:t>
      </w:r>
      <w:r>
        <w:rPr>
          <w:sz w:val="28"/>
          <w:szCs w:val="28"/>
        </w:rPr>
        <w:t>. »</w:t>
      </w:r>
    </w:p>
    <w:p w:rsidR="001D02CA" w:rsidRDefault="001D02CA">
      <w:pPr>
        <w:pStyle w:val="Standard"/>
        <w:jc w:val="both"/>
        <w:rPr>
          <w:sz w:val="28"/>
          <w:szCs w:val="28"/>
        </w:rPr>
      </w:pPr>
    </w:p>
    <w:p w:rsidR="001D02CA" w:rsidRDefault="00AA31E9">
      <w:pPr>
        <w:pStyle w:val="Standard"/>
        <w:jc w:val="both"/>
        <w:rPr>
          <w:sz w:val="28"/>
          <w:szCs w:val="28"/>
        </w:rPr>
      </w:pPr>
      <w:r>
        <w:rPr>
          <w:noProof/>
          <w:sz w:val="28"/>
          <w:szCs w:val="28"/>
          <w:lang w:eastAsia="fr-FR" w:bidi="ar-SA"/>
        </w:rPr>
        <w:drawing>
          <wp:anchor distT="0" distB="3175" distL="114300" distR="118745" simplePos="0" relativeHeight="3" behindDoc="0" locked="0" layoutInCell="1" allowOverlap="1">
            <wp:simplePos x="0" y="0"/>
            <wp:positionH relativeFrom="column">
              <wp:posOffset>-635</wp:posOffset>
            </wp:positionH>
            <wp:positionV relativeFrom="paragraph">
              <wp:posOffset>1905</wp:posOffset>
            </wp:positionV>
            <wp:extent cx="3596005" cy="2378075"/>
            <wp:effectExtent l="0" t="0" r="0" b="0"/>
            <wp:wrapSquare wrapText="bothSides"/>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7"/>
                    <a:stretch>
                      <a:fillRect/>
                    </a:stretch>
                  </pic:blipFill>
                  <pic:spPr bwMode="auto">
                    <a:xfrm>
                      <a:off x="0" y="0"/>
                      <a:ext cx="3596005" cy="2378075"/>
                    </a:xfrm>
                    <a:prstGeom prst="rect">
                      <a:avLst/>
                    </a:prstGeom>
                  </pic:spPr>
                </pic:pic>
              </a:graphicData>
            </a:graphic>
          </wp:anchor>
        </w:drawing>
      </w:r>
    </w:p>
    <w:p w:rsidR="001D02CA" w:rsidRDefault="001D02CA">
      <w:pPr>
        <w:pStyle w:val="Standard"/>
        <w:jc w:val="both"/>
        <w:rPr>
          <w:sz w:val="28"/>
          <w:szCs w:val="28"/>
        </w:rPr>
      </w:pPr>
    </w:p>
    <w:p w:rsidR="001D02CA" w:rsidRDefault="00AA31E9">
      <w:pPr>
        <w:pStyle w:val="Textbody"/>
        <w:jc w:val="both"/>
      </w:pPr>
      <w:r>
        <w:t>Papillon des services de propagande de la France libre, 1943</w:t>
      </w:r>
    </w:p>
    <w:p w:rsidR="001D02CA" w:rsidRDefault="00AA31E9">
      <w:pPr>
        <w:pStyle w:val="Textbody"/>
      </w:pPr>
      <w:proofErr w:type="gramStart"/>
      <w:r>
        <w:t>coll</w:t>
      </w:r>
      <w:proofErr w:type="gramEnd"/>
      <w:r>
        <w:t>. Musée de la Résistance nationale, Champigny</w:t>
      </w:r>
    </w:p>
    <w:p w:rsidR="001D02CA" w:rsidRDefault="001D02CA">
      <w:pPr>
        <w:pStyle w:val="Standard"/>
        <w:jc w:val="both"/>
      </w:pPr>
    </w:p>
    <w:p w:rsidR="001D02CA" w:rsidRDefault="00AA31E9">
      <w:pPr>
        <w:pStyle w:val="Standard"/>
        <w:jc w:val="both"/>
        <w:rPr>
          <w:sz w:val="28"/>
          <w:szCs w:val="28"/>
        </w:rPr>
      </w:pPr>
      <w:r>
        <w:rPr>
          <w:sz w:val="28"/>
          <w:szCs w:val="28"/>
        </w:rPr>
        <w:t>Combat a rejoint les MUR</w:t>
      </w:r>
    </w:p>
    <w:p w:rsidR="003D4230" w:rsidRDefault="003D4230">
      <w:pPr>
        <w:pStyle w:val="Standard"/>
        <w:jc w:val="both"/>
        <w:rPr>
          <w:sz w:val="28"/>
          <w:szCs w:val="28"/>
        </w:rPr>
      </w:pPr>
    </w:p>
    <w:p w:rsidR="003D4230" w:rsidRDefault="003D4230">
      <w:pPr>
        <w:pStyle w:val="Standard"/>
        <w:jc w:val="both"/>
        <w:rPr>
          <w:sz w:val="28"/>
          <w:szCs w:val="28"/>
        </w:rPr>
      </w:pPr>
    </w:p>
    <w:p w:rsidR="003D4230" w:rsidRDefault="003D4230">
      <w:pPr>
        <w:pStyle w:val="Standard"/>
        <w:jc w:val="both"/>
        <w:rPr>
          <w:sz w:val="28"/>
          <w:szCs w:val="28"/>
        </w:rPr>
      </w:pPr>
    </w:p>
    <w:p w:rsidR="003D4230" w:rsidRDefault="003D4230">
      <w:pPr>
        <w:pStyle w:val="Standard"/>
        <w:jc w:val="both"/>
        <w:rPr>
          <w:sz w:val="28"/>
          <w:szCs w:val="28"/>
        </w:rPr>
      </w:pPr>
    </w:p>
    <w:p w:rsidR="003D4230" w:rsidRDefault="003D4230">
      <w:pPr>
        <w:pStyle w:val="Standard"/>
        <w:jc w:val="both"/>
        <w:rPr>
          <w:sz w:val="28"/>
          <w:szCs w:val="28"/>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E50445" w:rsidRDefault="00E50445" w:rsidP="003D4230">
      <w:pPr>
        <w:pStyle w:val="Standard"/>
        <w:jc w:val="both"/>
        <w:rPr>
          <w:rFonts w:ascii="Arial" w:hAnsi="Arial" w:cs="Arial"/>
          <w:i/>
        </w:rPr>
      </w:pPr>
    </w:p>
    <w:p w:rsidR="003D4230" w:rsidRPr="00E50445" w:rsidRDefault="003D4230" w:rsidP="003D4230">
      <w:pPr>
        <w:pStyle w:val="Standard"/>
        <w:jc w:val="both"/>
        <w:rPr>
          <w:rFonts w:ascii="Arial" w:hAnsi="Arial" w:cs="Arial"/>
          <w:i/>
          <w:u w:val="single"/>
        </w:rPr>
      </w:pPr>
      <w:r w:rsidRPr="00E50445">
        <w:rPr>
          <w:rFonts w:ascii="Arial" w:hAnsi="Arial" w:cs="Arial"/>
          <w:i/>
          <w:u w:val="single"/>
        </w:rPr>
        <w:lastRenderedPageBreak/>
        <w:t>Des aides possibles pour analyser et comprendre le document 1 :</w:t>
      </w:r>
    </w:p>
    <w:p w:rsidR="003D4230" w:rsidRPr="00E50445" w:rsidRDefault="003D4230" w:rsidP="003D4230">
      <w:pPr>
        <w:pStyle w:val="Standard"/>
        <w:jc w:val="both"/>
        <w:rPr>
          <w:rFonts w:ascii="Arial" w:hAnsi="Arial" w:cs="Arial"/>
          <w:i/>
        </w:rPr>
      </w:pPr>
      <w:r w:rsidRPr="00E50445">
        <w:rPr>
          <w:rFonts w:ascii="Arial" w:hAnsi="Arial" w:cs="Arial"/>
          <w:i/>
        </w:rPr>
        <w:t>Aide possible (1) - Regardez attentivement qui sont les signataires de cette affiche et interrogez-vous sur le titre « Nous voulons ».</w:t>
      </w:r>
    </w:p>
    <w:p w:rsidR="003D4230" w:rsidRPr="00E50445" w:rsidRDefault="003D4230" w:rsidP="003D4230">
      <w:pPr>
        <w:pStyle w:val="Standard"/>
        <w:jc w:val="both"/>
        <w:rPr>
          <w:rFonts w:ascii="Arial" w:hAnsi="Arial" w:cs="Arial"/>
          <w:i/>
        </w:rPr>
      </w:pPr>
      <w:r w:rsidRPr="00E50445">
        <w:rPr>
          <w:rFonts w:ascii="Arial" w:hAnsi="Arial" w:cs="Arial"/>
          <w:i/>
        </w:rPr>
        <w:t>Aide possible (2) – Prouvez que cette affiche montre l’unification des principaux mouvements de résistance.</w:t>
      </w:r>
    </w:p>
    <w:p w:rsidR="003D4230" w:rsidRPr="00E50445" w:rsidRDefault="003D4230">
      <w:pPr>
        <w:pStyle w:val="Standard"/>
        <w:jc w:val="both"/>
        <w:rPr>
          <w:rFonts w:ascii="Arial" w:hAnsi="Arial" w:cs="Arial"/>
        </w:rPr>
      </w:pPr>
    </w:p>
    <w:p w:rsidR="003D4230" w:rsidRPr="00E50445" w:rsidRDefault="003D4230" w:rsidP="003D4230">
      <w:pPr>
        <w:pStyle w:val="Standard"/>
        <w:jc w:val="both"/>
        <w:rPr>
          <w:rFonts w:ascii="Arial" w:hAnsi="Arial" w:cs="Arial"/>
          <w:i/>
          <w:u w:val="single"/>
        </w:rPr>
      </w:pPr>
      <w:r w:rsidRPr="00E50445">
        <w:rPr>
          <w:rFonts w:ascii="Arial" w:hAnsi="Arial" w:cs="Arial"/>
          <w:i/>
          <w:u w:val="single"/>
        </w:rPr>
        <w:t>Des aides possibles pour analyser et comprendre le document 2 :</w:t>
      </w:r>
    </w:p>
    <w:p w:rsidR="003D4230" w:rsidRPr="00E50445" w:rsidRDefault="003D4230" w:rsidP="003D4230">
      <w:pPr>
        <w:pStyle w:val="Standard"/>
        <w:jc w:val="both"/>
        <w:rPr>
          <w:rFonts w:ascii="Arial" w:hAnsi="Arial" w:cs="Arial"/>
          <w:i/>
        </w:rPr>
      </w:pPr>
      <w:r w:rsidRPr="00E50445">
        <w:rPr>
          <w:rFonts w:ascii="Arial" w:hAnsi="Arial" w:cs="Arial"/>
          <w:i/>
        </w:rPr>
        <w:t>Aide poss</w:t>
      </w:r>
      <w:bookmarkStart w:id="0" w:name="_GoBack"/>
      <w:bookmarkEnd w:id="0"/>
      <w:r w:rsidRPr="00E50445">
        <w:rPr>
          <w:rFonts w:ascii="Arial" w:hAnsi="Arial" w:cs="Arial"/>
          <w:i/>
        </w:rPr>
        <w:t>ible (1) – Souvenez-vous ou allez rechercher l’information dans votre cahier ! Qui est Pétain ? Pourquoi l’auteur dit-il que « le gouvernement du Maréchal Pétain cédait aux exigences allemandes » ?</w:t>
      </w:r>
    </w:p>
    <w:p w:rsidR="003D4230" w:rsidRPr="00E50445" w:rsidRDefault="003D4230" w:rsidP="003D4230">
      <w:pPr>
        <w:pStyle w:val="Standard"/>
        <w:jc w:val="both"/>
        <w:rPr>
          <w:rFonts w:ascii="Arial" w:hAnsi="Arial" w:cs="Arial"/>
          <w:i/>
        </w:rPr>
      </w:pPr>
      <w:r w:rsidRPr="00E50445">
        <w:rPr>
          <w:rFonts w:ascii="Arial" w:hAnsi="Arial" w:cs="Arial"/>
          <w:i/>
        </w:rPr>
        <w:t>Aide possible (2) – Donnez une définition de ce que sont les FFL. Souvenez-vous ! Qui est le général de Gaulle ? Quel choix fait-il lors de son appel du 10 juin 1940 ?</w:t>
      </w:r>
    </w:p>
    <w:p w:rsidR="003D4230" w:rsidRPr="00E50445" w:rsidRDefault="003D4230" w:rsidP="003D4230">
      <w:pPr>
        <w:pStyle w:val="Standard"/>
        <w:jc w:val="both"/>
        <w:rPr>
          <w:rFonts w:ascii="Arial" w:hAnsi="Arial" w:cs="Arial"/>
          <w:i/>
        </w:rPr>
      </w:pPr>
      <w:r w:rsidRPr="00E50445">
        <w:rPr>
          <w:rFonts w:ascii="Arial" w:hAnsi="Arial" w:cs="Arial"/>
          <w:i/>
        </w:rPr>
        <w:t xml:space="preserve">Aide possible (3) – « l’émiettement » peut être traduit par la dispersion. </w:t>
      </w:r>
    </w:p>
    <w:p w:rsidR="003D4230" w:rsidRPr="00E50445" w:rsidRDefault="003D4230" w:rsidP="003D4230">
      <w:pPr>
        <w:pStyle w:val="Standard"/>
        <w:jc w:val="both"/>
        <w:rPr>
          <w:rFonts w:ascii="Arial" w:hAnsi="Arial" w:cs="Arial"/>
          <w:i/>
        </w:rPr>
      </w:pPr>
      <w:r w:rsidRPr="00E50445">
        <w:rPr>
          <w:rFonts w:ascii="Arial" w:hAnsi="Arial" w:cs="Arial"/>
          <w:i/>
        </w:rPr>
        <w:t>Aide possible – Etablissez un lien entre ce document 2 et le document 1.</w:t>
      </w:r>
    </w:p>
    <w:p w:rsidR="003D4230" w:rsidRPr="00E50445" w:rsidRDefault="003D4230">
      <w:pPr>
        <w:pStyle w:val="Standard"/>
        <w:jc w:val="both"/>
        <w:rPr>
          <w:rFonts w:ascii="Arial" w:hAnsi="Arial" w:cs="Arial"/>
        </w:rPr>
      </w:pPr>
    </w:p>
    <w:p w:rsidR="003D4230" w:rsidRPr="00E50445" w:rsidRDefault="003D4230" w:rsidP="003D4230">
      <w:pPr>
        <w:pStyle w:val="Standard"/>
        <w:jc w:val="both"/>
        <w:rPr>
          <w:rFonts w:ascii="Arial" w:hAnsi="Arial" w:cs="Arial"/>
          <w:i/>
          <w:u w:val="single"/>
        </w:rPr>
      </w:pPr>
      <w:r w:rsidRPr="00E50445">
        <w:rPr>
          <w:rFonts w:ascii="Arial" w:hAnsi="Arial" w:cs="Arial"/>
          <w:i/>
          <w:u w:val="single"/>
        </w:rPr>
        <w:t>Des aides possibles pour analyser et comprendre le document </w:t>
      </w:r>
      <w:r w:rsidRPr="00E50445">
        <w:rPr>
          <w:rFonts w:ascii="Arial" w:hAnsi="Arial" w:cs="Arial"/>
          <w:i/>
          <w:u w:val="single"/>
        </w:rPr>
        <w:t>3</w:t>
      </w:r>
      <w:r w:rsidRPr="00E50445">
        <w:rPr>
          <w:rFonts w:ascii="Arial" w:hAnsi="Arial" w:cs="Arial"/>
          <w:i/>
          <w:u w:val="single"/>
        </w:rPr>
        <w:t xml:space="preserve"> :</w:t>
      </w:r>
    </w:p>
    <w:p w:rsidR="003D4230" w:rsidRPr="00E50445" w:rsidRDefault="003D4230" w:rsidP="003D4230">
      <w:pPr>
        <w:pStyle w:val="Standard"/>
        <w:jc w:val="both"/>
        <w:rPr>
          <w:rFonts w:ascii="Arial" w:hAnsi="Arial" w:cs="Arial"/>
          <w:i/>
        </w:rPr>
      </w:pPr>
      <w:r w:rsidRPr="00E50445">
        <w:rPr>
          <w:rFonts w:ascii="Arial" w:hAnsi="Arial" w:cs="Arial"/>
          <w:i/>
        </w:rPr>
        <w:t>Aide possible (1) –</w:t>
      </w:r>
      <w:r w:rsidRPr="00E50445">
        <w:rPr>
          <w:rFonts w:ascii="Arial" w:hAnsi="Arial" w:cs="Arial"/>
          <w:i/>
        </w:rPr>
        <w:t xml:space="preserve"> Souvenez-vous !  L’Italie et le Japon font partie de l’Axe.</w:t>
      </w:r>
    </w:p>
    <w:p w:rsidR="003D4230" w:rsidRPr="00E50445" w:rsidRDefault="003D4230" w:rsidP="003D4230">
      <w:pPr>
        <w:pStyle w:val="Standard"/>
        <w:jc w:val="both"/>
        <w:rPr>
          <w:rFonts w:ascii="Arial" w:hAnsi="Arial" w:cs="Arial"/>
        </w:rPr>
      </w:pPr>
      <w:r w:rsidRPr="00E50445">
        <w:rPr>
          <w:rFonts w:ascii="Arial" w:hAnsi="Arial" w:cs="Arial"/>
        </w:rPr>
        <w:t xml:space="preserve">Aide possible (2) – L’auteur évoque les </w:t>
      </w:r>
      <w:r w:rsidRPr="00E50445">
        <w:rPr>
          <w:rFonts w:ascii="Arial" w:hAnsi="Arial" w:cs="Arial"/>
        </w:rPr>
        <w:t xml:space="preserve">pays occupés </w:t>
      </w:r>
      <w:r w:rsidRPr="00E50445">
        <w:rPr>
          <w:rFonts w:ascii="Arial" w:hAnsi="Arial" w:cs="Arial"/>
        </w:rPr>
        <w:t>et</w:t>
      </w:r>
      <w:r w:rsidRPr="00E50445">
        <w:rPr>
          <w:rFonts w:ascii="Arial" w:hAnsi="Arial" w:cs="Arial"/>
        </w:rPr>
        <w:t xml:space="preserve"> </w:t>
      </w:r>
      <w:r w:rsidRPr="00E50445">
        <w:rPr>
          <w:rFonts w:ascii="Arial" w:hAnsi="Arial" w:cs="Arial"/>
        </w:rPr>
        <w:t xml:space="preserve">les </w:t>
      </w:r>
      <w:r w:rsidRPr="00E50445">
        <w:rPr>
          <w:rFonts w:ascii="Arial" w:hAnsi="Arial" w:cs="Arial"/>
        </w:rPr>
        <w:t>peuples opprimés</w:t>
      </w:r>
      <w:r w:rsidRPr="00E50445">
        <w:rPr>
          <w:rFonts w:ascii="Arial" w:hAnsi="Arial" w:cs="Arial"/>
        </w:rPr>
        <w:t>.</w:t>
      </w:r>
    </w:p>
    <w:p w:rsidR="003D4230" w:rsidRPr="00E50445" w:rsidRDefault="003D4230" w:rsidP="003D4230">
      <w:pPr>
        <w:pStyle w:val="Standard"/>
        <w:jc w:val="both"/>
        <w:rPr>
          <w:rFonts w:ascii="Arial" w:hAnsi="Arial" w:cs="Arial"/>
        </w:rPr>
      </w:pPr>
    </w:p>
    <w:p w:rsidR="003D4230" w:rsidRPr="00E50445" w:rsidRDefault="003D4230" w:rsidP="003D4230">
      <w:pPr>
        <w:pStyle w:val="Standard"/>
        <w:jc w:val="both"/>
        <w:rPr>
          <w:rFonts w:ascii="Arial" w:hAnsi="Arial" w:cs="Arial"/>
          <w:i/>
          <w:u w:val="single"/>
        </w:rPr>
      </w:pPr>
      <w:r w:rsidRPr="00E50445">
        <w:rPr>
          <w:rFonts w:ascii="Arial" w:hAnsi="Arial" w:cs="Arial"/>
          <w:i/>
          <w:u w:val="single"/>
        </w:rPr>
        <w:t>Des aides possibles pour analyser et comprendre le document </w:t>
      </w:r>
      <w:r w:rsidRPr="00E50445">
        <w:rPr>
          <w:rFonts w:ascii="Arial" w:hAnsi="Arial" w:cs="Arial"/>
          <w:i/>
          <w:u w:val="single"/>
        </w:rPr>
        <w:t>5</w:t>
      </w:r>
      <w:r w:rsidRPr="00E50445">
        <w:rPr>
          <w:rFonts w:ascii="Arial" w:hAnsi="Arial" w:cs="Arial"/>
          <w:i/>
          <w:u w:val="single"/>
        </w:rPr>
        <w:t xml:space="preserve"> :</w:t>
      </w:r>
    </w:p>
    <w:p w:rsidR="003D4230" w:rsidRPr="00E50445" w:rsidRDefault="003D4230" w:rsidP="003D4230">
      <w:pPr>
        <w:pStyle w:val="Standard"/>
        <w:jc w:val="both"/>
        <w:rPr>
          <w:rFonts w:ascii="Arial" w:hAnsi="Arial" w:cs="Arial"/>
        </w:rPr>
      </w:pPr>
      <w:r w:rsidRPr="00E50445">
        <w:rPr>
          <w:rFonts w:ascii="Arial" w:hAnsi="Arial" w:cs="Arial"/>
        </w:rPr>
        <w:t>Aide possible (1) – Souvenez-vous ! Qu’est-ce que la Gestapo ? Allez chercher l’information dans le chapitre 2 d’histoire sur le régime totalitaire nazi.</w:t>
      </w:r>
    </w:p>
    <w:p w:rsidR="003D4230" w:rsidRPr="00E50445" w:rsidRDefault="003D4230" w:rsidP="003D4230">
      <w:pPr>
        <w:pStyle w:val="Standard"/>
        <w:jc w:val="both"/>
        <w:rPr>
          <w:rFonts w:ascii="Arial" w:hAnsi="Arial" w:cs="Arial"/>
        </w:rPr>
      </w:pPr>
    </w:p>
    <w:p w:rsidR="003D4230" w:rsidRPr="00E50445" w:rsidRDefault="003D4230" w:rsidP="003D4230">
      <w:pPr>
        <w:pStyle w:val="Standard"/>
        <w:jc w:val="both"/>
        <w:rPr>
          <w:rFonts w:ascii="Arial" w:hAnsi="Arial" w:cs="Arial"/>
          <w:i/>
          <w:u w:val="single"/>
        </w:rPr>
      </w:pPr>
      <w:r w:rsidRPr="00E50445">
        <w:rPr>
          <w:rFonts w:ascii="Arial" w:hAnsi="Arial" w:cs="Arial"/>
          <w:i/>
          <w:u w:val="single"/>
        </w:rPr>
        <w:t>Des aides possibles pour analyser et comprendre le document </w:t>
      </w:r>
      <w:r w:rsidRPr="00E50445">
        <w:rPr>
          <w:rFonts w:ascii="Arial" w:hAnsi="Arial" w:cs="Arial"/>
          <w:i/>
          <w:u w:val="single"/>
        </w:rPr>
        <w:t>6</w:t>
      </w:r>
      <w:r w:rsidRPr="00E50445">
        <w:rPr>
          <w:rFonts w:ascii="Arial" w:hAnsi="Arial" w:cs="Arial"/>
          <w:i/>
          <w:u w:val="single"/>
        </w:rPr>
        <w:t xml:space="preserve"> :</w:t>
      </w:r>
    </w:p>
    <w:p w:rsidR="003D4230" w:rsidRPr="00E50445" w:rsidRDefault="003D4230" w:rsidP="003D4230">
      <w:pPr>
        <w:pStyle w:val="Standard"/>
        <w:jc w:val="both"/>
        <w:rPr>
          <w:rFonts w:ascii="Arial" w:hAnsi="Arial" w:cs="Arial"/>
        </w:rPr>
      </w:pPr>
      <w:r w:rsidRPr="00E50445">
        <w:rPr>
          <w:rFonts w:ascii="Arial" w:hAnsi="Arial" w:cs="Arial"/>
        </w:rPr>
        <w:t xml:space="preserve">Aide possible (1) – La </w:t>
      </w:r>
      <w:r w:rsidRPr="00E50445">
        <w:rPr>
          <w:rFonts w:ascii="Arial" w:hAnsi="Arial" w:cs="Arial"/>
        </w:rPr>
        <w:t xml:space="preserve">zone Sud </w:t>
      </w:r>
      <w:r w:rsidRPr="00E50445">
        <w:rPr>
          <w:rFonts w:ascii="Arial" w:hAnsi="Arial" w:cs="Arial"/>
        </w:rPr>
        <w:t xml:space="preserve">est </w:t>
      </w:r>
      <w:r w:rsidRPr="00E50445">
        <w:rPr>
          <w:rFonts w:ascii="Arial" w:hAnsi="Arial" w:cs="Arial"/>
        </w:rPr>
        <w:t>dirigée par le régime de Vichy</w:t>
      </w:r>
      <w:r w:rsidRPr="00E50445">
        <w:rPr>
          <w:rFonts w:ascii="Arial" w:hAnsi="Arial" w:cs="Arial"/>
        </w:rPr>
        <w:t>.</w:t>
      </w:r>
    </w:p>
    <w:p w:rsidR="003D4230" w:rsidRPr="00E50445" w:rsidRDefault="003D4230" w:rsidP="003D4230">
      <w:pPr>
        <w:pStyle w:val="Standard"/>
        <w:jc w:val="both"/>
        <w:rPr>
          <w:rFonts w:ascii="Arial" w:hAnsi="Arial" w:cs="Arial"/>
        </w:rPr>
      </w:pPr>
      <w:r w:rsidRPr="00E50445">
        <w:rPr>
          <w:rFonts w:ascii="Arial" w:hAnsi="Arial" w:cs="Arial"/>
        </w:rPr>
        <w:t xml:space="preserve">Aide possible (2) – Pourquoi l’auteur de cette lettre </w:t>
      </w:r>
      <w:proofErr w:type="spellStart"/>
      <w:r w:rsidRPr="00E50445">
        <w:rPr>
          <w:rFonts w:ascii="Arial" w:hAnsi="Arial" w:cs="Arial"/>
        </w:rPr>
        <w:t>veut-il</w:t>
      </w:r>
      <w:proofErr w:type="spellEnd"/>
      <w:r w:rsidRPr="00E50445">
        <w:rPr>
          <w:rFonts w:ascii="Arial" w:hAnsi="Arial" w:cs="Arial"/>
        </w:rPr>
        <w:t xml:space="preserve"> unifier la Résistance ? </w:t>
      </w:r>
    </w:p>
    <w:p w:rsidR="00E50445" w:rsidRPr="00E50445" w:rsidRDefault="00E50445" w:rsidP="003D4230">
      <w:pPr>
        <w:pStyle w:val="Standard"/>
        <w:jc w:val="both"/>
        <w:rPr>
          <w:rFonts w:ascii="Arial" w:hAnsi="Arial" w:cs="Arial"/>
        </w:rPr>
      </w:pPr>
      <w:r w:rsidRPr="00E50445">
        <w:rPr>
          <w:rFonts w:ascii="Arial" w:hAnsi="Arial" w:cs="Arial"/>
        </w:rPr>
        <w:t>Aide possible – Etablissez un lien entre ce document 6 et les documents 1 et 2.</w:t>
      </w:r>
    </w:p>
    <w:sectPr w:rsidR="00E50445" w:rsidRPr="00E50445">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2CA"/>
    <w:rsid w:val="001D02CA"/>
    <w:rsid w:val="003D4230"/>
    <w:rsid w:val="006F7952"/>
    <w:rsid w:val="009136F3"/>
    <w:rsid w:val="00AA31E9"/>
    <w:rsid w:val="00AF783F"/>
    <w:rsid w:val="00CA2F15"/>
    <w:rsid w:val="00E5044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5C64F6-6341-47A3-A1EA-D34D80C8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roid Sans Fallback" w:hAnsi="Calibri" w:cs="FreeSans"/>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basedOn w:val="Standard"/>
    <w:next w:val="Corpsdetexte"/>
    <w:qFormat/>
    <w:pPr>
      <w:keepNext/>
      <w:spacing w:before="240" w:after="120"/>
    </w:pPr>
    <w:rPr>
      <w:sz w:val="28"/>
      <w:szCs w:val="28"/>
    </w:rPr>
  </w:style>
  <w:style w:type="paragraph" w:styleId="Corpsdetexte">
    <w:name w:val="Body Text"/>
    <w:basedOn w:val="Normal"/>
    <w:pPr>
      <w:spacing w:after="140" w:line="288" w:lineRule="auto"/>
    </w:pPr>
  </w:style>
  <w:style w:type="paragraph" w:styleId="Liste">
    <w:name w:val="List"/>
    <w:basedOn w:val="Textbody"/>
    <w:rPr>
      <w:rFonts w:eastAsia="Calibri"/>
    </w:rPr>
  </w:style>
  <w:style w:type="paragraph" w:styleId="Lgende">
    <w:name w:val="caption"/>
    <w:basedOn w:val="Standard"/>
    <w:qFormat/>
    <w:pPr>
      <w:suppressLineNumbers/>
      <w:spacing w:before="120" w:after="120"/>
    </w:pPr>
    <w:rPr>
      <w:rFonts w:eastAsia="Calibri"/>
      <w:i/>
      <w:iCs/>
    </w:rPr>
  </w:style>
  <w:style w:type="paragraph" w:customStyle="1" w:styleId="Index">
    <w:name w:val="Index"/>
    <w:basedOn w:val="Standard"/>
    <w:qFormat/>
    <w:pPr>
      <w:suppressLineNumbers/>
    </w:pPr>
    <w:rPr>
      <w:rFonts w:eastAsia="Calibri"/>
    </w:rPr>
  </w:style>
  <w:style w:type="paragraph" w:customStyle="1" w:styleId="Standard">
    <w:name w:val="Standard"/>
    <w:qFormat/>
  </w:style>
  <w:style w:type="paragraph" w:customStyle="1" w:styleId="Textbody">
    <w:name w:val="Text body"/>
    <w:basedOn w:val="Standard"/>
    <w:qFormat/>
    <w:pPr>
      <w:spacing w:after="140" w:line="288" w:lineRule="auto"/>
    </w:pPr>
  </w:style>
  <w:style w:type="paragraph" w:customStyle="1" w:styleId="Contenudetableau">
    <w:name w:val="Contenu de tableau"/>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977</Words>
  <Characters>5376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dc:creator>
  <dc:description/>
  <cp:lastModifiedBy>philippe</cp:lastModifiedBy>
  <cp:revision>7</cp:revision>
  <dcterms:created xsi:type="dcterms:W3CDTF">2019-01-16T10:14:00Z</dcterms:created>
  <dcterms:modified xsi:type="dcterms:W3CDTF">2019-01-23T15:10:00Z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