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4C66" w14:textId="77777777" w:rsidR="00B34D7A" w:rsidRPr="00A062C7" w:rsidRDefault="00B34D7A" w:rsidP="00B05E65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shd w:val="clear" w:color="auto" w:fill="00B050"/>
        </w:rPr>
      </w:pPr>
      <w:r w:rsidRPr="00A062C7">
        <w:rPr>
          <w:rFonts w:ascii="Times New Roman" w:hAnsi="Times New Roman"/>
          <w:b/>
          <w:sz w:val="36"/>
          <w:szCs w:val="32"/>
          <w:shd w:val="clear" w:color="auto" w:fill="00B050"/>
        </w:rPr>
        <w:t>MISE EN COMMUN DES DIFFERENTS PROJETS DE CLASSE DISCIPLINAIRE</w:t>
      </w:r>
    </w:p>
    <w:p w14:paraId="2E3FA3FF" w14:textId="77777777" w:rsidR="00B34D7A" w:rsidRPr="00B34D7A" w:rsidRDefault="00B34D7A" w:rsidP="00B05E65">
      <w:pPr>
        <w:spacing w:after="0" w:line="240" w:lineRule="auto"/>
        <w:jc w:val="center"/>
        <w:rPr>
          <w:rFonts w:ascii="Times New Roman" w:hAnsi="Times New Roman"/>
          <w:sz w:val="10"/>
          <w:szCs w:val="32"/>
          <w:shd w:val="clear" w:color="auto" w:fill="00B050"/>
        </w:rPr>
      </w:pPr>
    </w:p>
    <w:p w14:paraId="5A83374A" w14:textId="77777777" w:rsidR="00B34D7A" w:rsidRPr="00A062C7" w:rsidRDefault="00B34D7A" w:rsidP="00B05E65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A062C7">
        <w:rPr>
          <w:rFonts w:ascii="Times New Roman" w:hAnsi="Times New Roman"/>
          <w:b/>
          <w:sz w:val="24"/>
          <w:u w:val="single"/>
        </w:rPr>
        <w:t>Mise en commun des enjeux de formation par discipline pour l’acquisition des cinq domaines du socle commun</w:t>
      </w:r>
    </w:p>
    <w:p w14:paraId="76ED00EC" w14:textId="77777777" w:rsidR="00B34D7A" w:rsidRPr="00B34D7A" w:rsidRDefault="00B34D7A" w:rsidP="00B34D7A">
      <w:pPr>
        <w:spacing w:after="0" w:line="240" w:lineRule="auto"/>
        <w:jc w:val="center"/>
        <w:rPr>
          <w:rFonts w:ascii="Times New Roman" w:hAnsi="Times New Roman"/>
          <w:b/>
          <w:sz w:val="10"/>
          <w:u w:val="single"/>
        </w:rPr>
      </w:pPr>
    </w:p>
    <w:tbl>
      <w:tblPr>
        <w:tblStyle w:val="Grille"/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  <w:gridCol w:w="1848"/>
        <w:gridCol w:w="1848"/>
        <w:gridCol w:w="1848"/>
      </w:tblGrid>
      <w:tr w:rsidR="00B34D7A" w:rsidRPr="00A062C7" w14:paraId="7C3C4369" w14:textId="77777777" w:rsidTr="00FF59CD"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D496547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Français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03BF4544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Langues vivantes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5BD0E78A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Mathématiques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84F8EEB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Education Musicale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1F2ABBE5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EPS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4576F0AC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Histoire Géographie</w:t>
            </w:r>
          </w:p>
          <w:p w14:paraId="7EFBBDF6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 xml:space="preserve">Ed. Morale et Civique 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1AB39183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Sciences et technologie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5E20DE7" w14:textId="77777777" w:rsidR="00B34D7A" w:rsidRPr="00A062C7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062C7">
              <w:rPr>
                <w:rFonts w:ascii="Times New Roman" w:hAnsi="Times New Roman"/>
                <w:sz w:val="20"/>
                <w:szCs w:val="16"/>
              </w:rPr>
              <w:t>Arts plastiques</w:t>
            </w:r>
          </w:p>
        </w:tc>
      </w:tr>
      <w:tr w:rsidR="00B34D7A" w:rsidRPr="00CD2E3C" w14:paraId="4E19E8BC" w14:textId="77777777" w:rsidTr="00FF59CD">
        <w:trPr>
          <w:trHeight w:val="45"/>
        </w:trPr>
        <w:tc>
          <w:tcPr>
            <w:tcW w:w="625" w:type="pct"/>
            <w:vAlign w:val="center"/>
          </w:tcPr>
          <w:p w14:paraId="2EF313F3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E510E0B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694A1C0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  <w:r>
              <w:rPr>
                <w:rFonts w:ascii="Times New Roman" w:hAnsi="Times New Roman"/>
                <w:color w:val="7030A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14"/>
                <w:szCs w:val="16"/>
              </w:rPr>
              <w:t>Passer d’un langage courant à un scientifique</w:t>
            </w:r>
          </w:p>
          <w:p w14:paraId="4F0E0FDA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  <w:r>
              <w:rPr>
                <w:rFonts w:ascii="Times New Roman" w:hAnsi="Times New Roman"/>
                <w:color w:val="7030A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14"/>
                <w:szCs w:val="16"/>
              </w:rPr>
              <w:t>Utiliser les nombres pour exprimer, se repérer et résoudre des problèmes.</w:t>
            </w:r>
          </w:p>
        </w:tc>
        <w:tc>
          <w:tcPr>
            <w:tcW w:w="625" w:type="pct"/>
            <w:vAlign w:val="center"/>
          </w:tcPr>
          <w:p w14:paraId="6982F483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FEB2905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  <w:r>
              <w:rPr>
                <w:rFonts w:ascii="Times New Roman" w:hAnsi="Times New Roman"/>
                <w:color w:val="7030A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7030A0"/>
                <w:sz w:val="14"/>
                <w:szCs w:val="16"/>
              </w:rPr>
              <w:t>Donner du temps pour que les élèves montrent qu’ils ont compris, s’organisent, expliquent aux autres</w:t>
            </w:r>
          </w:p>
        </w:tc>
        <w:tc>
          <w:tcPr>
            <w:tcW w:w="625" w:type="pct"/>
            <w:vAlign w:val="center"/>
          </w:tcPr>
          <w:p w14:paraId="5B918014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  <w:r>
              <w:rPr>
                <w:rFonts w:ascii="Times New Roman" w:hAnsi="Times New Roman"/>
                <w:color w:val="7030A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14"/>
                <w:szCs w:val="16"/>
              </w:rPr>
              <w:t>Accéder à des réalisations réfléchies en organisant et formalisant les productions, et en permettant l’échange et la compréhension.</w:t>
            </w:r>
          </w:p>
        </w:tc>
        <w:tc>
          <w:tcPr>
            <w:tcW w:w="625" w:type="pct"/>
            <w:vAlign w:val="center"/>
          </w:tcPr>
          <w:p w14:paraId="77EB623E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C24E2B5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7030A0"/>
                <w:sz w:val="14"/>
                <w:szCs w:val="16"/>
              </w:rPr>
            </w:pPr>
          </w:p>
        </w:tc>
      </w:tr>
      <w:tr w:rsidR="00B34D7A" w:rsidRPr="00CD2E3C" w14:paraId="5CC00CDE" w14:textId="77777777" w:rsidTr="00FF59CD">
        <w:trPr>
          <w:trHeight w:val="45"/>
        </w:trPr>
        <w:tc>
          <w:tcPr>
            <w:tcW w:w="625" w:type="pct"/>
            <w:vAlign w:val="center"/>
          </w:tcPr>
          <w:p w14:paraId="530249DD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9D88DC3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3C32997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  <w:r>
              <w:rPr>
                <w:rFonts w:ascii="Times New Roman" w:hAnsi="Times New Roman"/>
                <w:color w:val="0070C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14"/>
                <w:szCs w:val="16"/>
              </w:rPr>
              <w:t>Acquérir des stratégies d’écoute, de lecture, d’expression</w:t>
            </w:r>
          </w:p>
          <w:p w14:paraId="111F3EBB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  <w:r>
              <w:rPr>
                <w:rFonts w:ascii="Times New Roman" w:hAnsi="Times New Roman"/>
                <w:color w:val="0070C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14"/>
                <w:szCs w:val="16"/>
              </w:rPr>
              <w:t>S’organiser au travers des leçons et des exercices en classe et à la maison</w:t>
            </w:r>
          </w:p>
        </w:tc>
        <w:tc>
          <w:tcPr>
            <w:tcW w:w="625" w:type="pct"/>
            <w:vAlign w:val="center"/>
          </w:tcPr>
          <w:p w14:paraId="76B63A3C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47E519BD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  <w:r>
              <w:rPr>
                <w:rFonts w:ascii="Times New Roman" w:hAnsi="Times New Roman"/>
                <w:color w:val="0070C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Conserver une démarche </w:t>
            </w:r>
            <w:r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rigoureuse </w:t>
            </w:r>
            <w:r w:rsidRPr="00CD2E3C">
              <w:rPr>
                <w:rFonts w:ascii="Times New Roman" w:hAnsi="Times New Roman"/>
                <w:color w:val="0070C0"/>
                <w:sz w:val="14"/>
                <w:szCs w:val="16"/>
              </w:rPr>
              <w:t>d’apprentissage</w:t>
            </w:r>
            <w:r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0070C0"/>
                <w:sz w:val="14"/>
                <w:szCs w:val="16"/>
              </w:rPr>
              <w:t>: écouter, comprendre, produire, dialoguer et réguler (porte-vues, documents de travail, tablette, espaces collaboratifs)</w:t>
            </w:r>
          </w:p>
        </w:tc>
        <w:tc>
          <w:tcPr>
            <w:tcW w:w="625" w:type="pct"/>
            <w:vAlign w:val="center"/>
          </w:tcPr>
          <w:p w14:paraId="3B1950EF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  <w:r>
              <w:rPr>
                <w:rFonts w:ascii="Times New Roman" w:hAnsi="Times New Roman"/>
                <w:color w:val="0070C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70C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14"/>
                <w:szCs w:val="16"/>
              </w:rPr>
              <w:t>Apprendre à traiter les sources, à présenter les documents, à diffuser, à créer des exposés, des représentations cartographiées.</w:t>
            </w:r>
          </w:p>
        </w:tc>
        <w:tc>
          <w:tcPr>
            <w:tcW w:w="625" w:type="pct"/>
            <w:vAlign w:val="center"/>
          </w:tcPr>
          <w:p w14:paraId="5542C288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D2DAFD9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70C0"/>
                <w:sz w:val="14"/>
                <w:szCs w:val="16"/>
              </w:rPr>
            </w:pPr>
          </w:p>
        </w:tc>
      </w:tr>
      <w:tr w:rsidR="00B34D7A" w:rsidRPr="00CD2E3C" w14:paraId="7ABF2870" w14:textId="77777777" w:rsidTr="00FF59CD">
        <w:trPr>
          <w:trHeight w:val="45"/>
        </w:trPr>
        <w:tc>
          <w:tcPr>
            <w:tcW w:w="625" w:type="pct"/>
            <w:vAlign w:val="center"/>
          </w:tcPr>
          <w:p w14:paraId="4EBA965C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7272EF9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541E158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14"/>
                <w:szCs w:val="16"/>
              </w:rPr>
              <w:t>Développer le sens critique, l’ouverture aux autres en mettant en jeu par le débat, par l’engagement et l’action</w:t>
            </w:r>
          </w:p>
          <w:p w14:paraId="2B6ED379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14"/>
                <w:szCs w:val="16"/>
              </w:rPr>
              <w:t>Elargir les modes de raisonnement et de démonstration</w:t>
            </w:r>
          </w:p>
        </w:tc>
        <w:tc>
          <w:tcPr>
            <w:tcW w:w="625" w:type="pct"/>
            <w:vAlign w:val="center"/>
          </w:tcPr>
          <w:p w14:paraId="55B38F04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4825FEC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00B050"/>
                <w:sz w:val="14"/>
                <w:szCs w:val="16"/>
              </w:rPr>
              <w:t>Chacun doit comprendre l’utilité des uns et des autres pour pouvoir progresser.</w:t>
            </w:r>
          </w:p>
          <w:p w14:paraId="78A6C7E8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Se fixer des objectifs </w:t>
            </w:r>
            <w:r>
              <w:rPr>
                <w:rFonts w:ascii="Times New Roman" w:hAnsi="Times New Roman"/>
                <w:color w:val="00B050"/>
                <w:sz w:val="14"/>
                <w:szCs w:val="16"/>
              </w:rPr>
              <w:t>et être déterminé à</w:t>
            </w:r>
            <w:r w:rsidRPr="00CD2E3C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atteindre les étapes les unes après les autres.</w:t>
            </w:r>
          </w:p>
        </w:tc>
        <w:tc>
          <w:tcPr>
            <w:tcW w:w="625" w:type="pct"/>
            <w:vAlign w:val="center"/>
          </w:tcPr>
          <w:p w14:paraId="3150140E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14"/>
                <w:szCs w:val="16"/>
              </w:rPr>
              <w:t>Comprendre l’utilité et l’organisation du travail de groupe pour pouvoir progresser.</w:t>
            </w:r>
          </w:p>
          <w:p w14:paraId="681E31D4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  <w:r>
              <w:rPr>
                <w:rFonts w:ascii="Times New Roman" w:hAnsi="Times New Roman"/>
                <w:color w:val="00B05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00B05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B050"/>
                <w:sz w:val="14"/>
                <w:szCs w:val="16"/>
              </w:rPr>
              <w:t>Respecter les règles communes pour effectuer un travail en groupe, réaliser un projet</w:t>
            </w:r>
          </w:p>
        </w:tc>
        <w:tc>
          <w:tcPr>
            <w:tcW w:w="625" w:type="pct"/>
            <w:vAlign w:val="center"/>
          </w:tcPr>
          <w:p w14:paraId="696A7C90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5398564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00B050"/>
                <w:sz w:val="14"/>
                <w:szCs w:val="16"/>
              </w:rPr>
            </w:pPr>
          </w:p>
        </w:tc>
      </w:tr>
      <w:tr w:rsidR="00B34D7A" w:rsidRPr="00CD2E3C" w14:paraId="302E14E0" w14:textId="77777777" w:rsidTr="00FF59CD">
        <w:trPr>
          <w:trHeight w:val="45"/>
        </w:trPr>
        <w:tc>
          <w:tcPr>
            <w:tcW w:w="625" w:type="pct"/>
            <w:vAlign w:val="center"/>
          </w:tcPr>
          <w:p w14:paraId="127F4C19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89714DA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1707CAC3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Interpréter des données, prendre des décisions en les organisant, analysant</w:t>
            </w:r>
          </w:p>
          <w:p w14:paraId="20FA4CF8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Situation de résolutions de problèmes : observer, comprendre,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tester, </w:t>
            </w:r>
            <w:r w:rsidRPr="00CD2E3C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adapter son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raisonnement</w:t>
            </w:r>
          </w:p>
        </w:tc>
        <w:tc>
          <w:tcPr>
            <w:tcW w:w="625" w:type="pct"/>
            <w:vAlign w:val="center"/>
          </w:tcPr>
          <w:p w14:paraId="3D678D6D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625" w:type="pct"/>
            <w:vAlign w:val="center"/>
          </w:tcPr>
          <w:p w14:paraId="48A96570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Adapter son comportement à ses capacités, à l’environnement</w:t>
            </w:r>
          </w:p>
          <w:p w14:paraId="25A56789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Situation de résolution</w:t>
            </w:r>
            <w:r w:rsidRPr="00CD2E3C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de problèmes : observer, comprendre,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tester</w:t>
            </w:r>
          </w:p>
        </w:tc>
        <w:tc>
          <w:tcPr>
            <w:tcW w:w="625" w:type="pct"/>
            <w:vAlign w:val="center"/>
          </w:tcPr>
          <w:p w14:paraId="5581B12F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Situation de résolutions de problèmes : observer, comprendre,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tester, </w:t>
            </w:r>
            <w:r w:rsidRPr="00CD2E3C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adapter son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raisonnement</w:t>
            </w:r>
          </w:p>
          <w:p w14:paraId="6B773DAD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/>
                <w:color w:val="FF0000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4"/>
                <w:szCs w:val="16"/>
              </w:rPr>
              <w:t>Sélectionner des informations pour expliquer</w:t>
            </w:r>
          </w:p>
        </w:tc>
        <w:tc>
          <w:tcPr>
            <w:tcW w:w="625" w:type="pct"/>
            <w:vAlign w:val="center"/>
          </w:tcPr>
          <w:p w14:paraId="5885FB60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7097083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</w:p>
        </w:tc>
      </w:tr>
      <w:tr w:rsidR="00B34D7A" w:rsidRPr="00CD2E3C" w14:paraId="4CCDE801" w14:textId="77777777" w:rsidTr="00FF59CD">
        <w:trPr>
          <w:trHeight w:val="45"/>
        </w:trPr>
        <w:tc>
          <w:tcPr>
            <w:tcW w:w="625" w:type="pct"/>
            <w:vAlign w:val="center"/>
          </w:tcPr>
          <w:p w14:paraId="72E3B38F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46C5B27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6BF1B7B7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Développer une conscience historique du développement des mathématiques</w:t>
            </w:r>
          </w:p>
        </w:tc>
        <w:tc>
          <w:tcPr>
            <w:tcW w:w="625" w:type="pct"/>
            <w:vAlign w:val="center"/>
          </w:tcPr>
          <w:p w14:paraId="3321CB70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32864727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</w:t>
            </w:r>
            <w:r w:rsidRPr="00CD2E3C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Sensibiliser</w:t>
            </w: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sur l’environnement</w:t>
            </w:r>
          </w:p>
          <w:p w14:paraId="6464773C" w14:textId="77777777" w:rsid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Donner des références hors EPS</w:t>
            </w:r>
          </w:p>
          <w:p w14:paraId="7D3F315A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C</w:t>
            </w:r>
            <w:r w:rsidRPr="00CD2E3C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ultiver une attitude de curiosité</w:t>
            </w:r>
          </w:p>
        </w:tc>
        <w:tc>
          <w:tcPr>
            <w:tcW w:w="625" w:type="pct"/>
            <w:vAlign w:val="center"/>
          </w:tcPr>
          <w:p w14:paraId="7C5553DC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>-</w:t>
            </w:r>
            <w:r w:rsidR="00FF59CD"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504D" w:themeColor="accent2"/>
                <w:sz w:val="14"/>
                <w:szCs w:val="16"/>
              </w:rPr>
              <w:t xml:space="preserve">Mettre en place des repères temporels </w:t>
            </w:r>
          </w:p>
        </w:tc>
        <w:tc>
          <w:tcPr>
            <w:tcW w:w="625" w:type="pct"/>
            <w:vAlign w:val="center"/>
          </w:tcPr>
          <w:p w14:paraId="707F1D06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578963FE" w14:textId="77777777" w:rsidR="00B34D7A" w:rsidRPr="00CD2E3C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4"/>
                <w:szCs w:val="16"/>
              </w:rPr>
            </w:pPr>
          </w:p>
        </w:tc>
      </w:tr>
      <w:tr w:rsidR="00B34D7A" w:rsidRPr="00CD2E3C" w14:paraId="53562146" w14:textId="77777777" w:rsidTr="00FF59CD">
        <w:tc>
          <w:tcPr>
            <w:tcW w:w="5000" w:type="pct"/>
            <w:gridSpan w:val="8"/>
            <w:vAlign w:val="center"/>
          </w:tcPr>
          <w:p w14:paraId="124A5B50" w14:textId="5FFFEBD4" w:rsidR="00B34D7A" w:rsidRPr="00A062C7" w:rsidRDefault="00B34D7A" w:rsidP="00B05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  <w:u w:val="single"/>
              </w:rPr>
            </w:pPr>
            <w:r w:rsidRPr="00A062C7">
              <w:rPr>
                <w:rFonts w:ascii="Times New Roman" w:hAnsi="Times New Roman"/>
                <w:b/>
                <w:szCs w:val="16"/>
                <w:u w:val="single"/>
              </w:rPr>
              <w:t>Les enjeux de formation retenus par l’ensemble de l’équipe pour le projet de classe interdisciplinaire</w:t>
            </w:r>
            <w:r w:rsidR="00B05E65" w:rsidRPr="00A062C7">
              <w:rPr>
                <w:rFonts w:ascii="Times New Roman" w:hAnsi="Times New Roman"/>
                <w:b/>
                <w:szCs w:val="16"/>
                <w:u w:val="single"/>
              </w:rPr>
              <w:t> :</w:t>
            </w:r>
          </w:p>
          <w:p w14:paraId="499DC396" w14:textId="77777777" w:rsidR="00B34D7A" w:rsidRPr="00B34D7A" w:rsidRDefault="00B34D7A" w:rsidP="00B34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u w:val="single"/>
              </w:rPr>
            </w:pPr>
          </w:p>
          <w:p w14:paraId="75E92851" w14:textId="127D2430" w:rsidR="00B34D7A" w:rsidRPr="00A062C7" w:rsidRDefault="00B34D7A" w:rsidP="00A062C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EE1768">
              <w:rPr>
                <w:rFonts w:ascii="Times New Roman" w:hAnsi="Times New Roman"/>
                <w:color w:val="7030A0"/>
                <w:sz w:val="16"/>
                <w:szCs w:val="16"/>
                <w:u w:val="single"/>
              </w:rPr>
              <w:t>En lien avec le domaine 1 (les langages pour penser et communiquer)</w:t>
            </w:r>
            <w:r w:rsidRPr="00CD2E3C">
              <w:rPr>
                <w:rFonts w:ascii="Times New Roman" w:hAnsi="Times New Roman"/>
                <w:color w:val="7030A0"/>
                <w:sz w:val="16"/>
                <w:szCs w:val="16"/>
              </w:rPr>
              <w:t> :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="00B05E65"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>d</w:t>
            </w:r>
            <w:r w:rsidRPr="000849B9"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>onner du temps pour s’exprimer, expliquer</w:t>
            </w:r>
            <w:r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 xml:space="preserve"> qu’ils ont compris, et formaliser avant de réaliser des tâches.</w:t>
            </w:r>
          </w:p>
          <w:p w14:paraId="3E5BA270" w14:textId="63D89807" w:rsidR="00B34D7A" w:rsidRPr="00A062C7" w:rsidRDefault="00B34D7A" w:rsidP="00A062C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EE1768">
              <w:rPr>
                <w:rFonts w:ascii="Times New Roman" w:hAnsi="Times New Roman"/>
                <w:color w:val="0070C0"/>
                <w:sz w:val="16"/>
                <w:szCs w:val="16"/>
                <w:u w:val="single"/>
              </w:rPr>
              <w:t>En lien avec le domaine 2 (les méthodes et outils pour apprendre)</w:t>
            </w:r>
            <w:r w:rsidRPr="00CD2E3C">
              <w:rPr>
                <w:rFonts w:ascii="Times New Roman" w:hAnsi="Times New Roman"/>
                <w:color w:val="0070C0"/>
                <w:sz w:val="16"/>
                <w:szCs w:val="16"/>
              </w:rPr>
              <w:t> :</w:t>
            </w:r>
            <w:r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  <w:r w:rsidR="00B05E65">
              <w:rPr>
                <w:rFonts w:ascii="Times New Roman" w:hAnsi="Times New Roman"/>
                <w:b/>
                <w:color w:val="0070C0"/>
                <w:sz w:val="16"/>
                <w:szCs w:val="16"/>
              </w:rPr>
              <w:t>c</w:t>
            </w:r>
            <w:r w:rsidRPr="00722D4D">
              <w:rPr>
                <w:rFonts w:ascii="Times New Roman" w:hAnsi="Times New Roman"/>
                <w:b/>
                <w:color w:val="0070C0"/>
                <w:sz w:val="16"/>
                <w:szCs w:val="16"/>
              </w:rPr>
              <w:t>onserver une démarche rigoureuse d’apprentissage (écouter, traiter les informations, produire, réguler et exposer)</w:t>
            </w:r>
          </w:p>
          <w:p w14:paraId="557A38D8" w14:textId="0562B31C" w:rsidR="00B34D7A" w:rsidRPr="00A062C7" w:rsidRDefault="00B34D7A" w:rsidP="00A062C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E1768">
              <w:rPr>
                <w:rFonts w:ascii="Times New Roman" w:hAnsi="Times New Roman"/>
                <w:color w:val="00B050"/>
                <w:sz w:val="16"/>
                <w:szCs w:val="16"/>
                <w:u w:val="single"/>
              </w:rPr>
              <w:t>En lien avec le domaine 3 (la formation de la personne et du citoyen)</w:t>
            </w:r>
            <w:r w:rsidRPr="00CD2E3C">
              <w:rPr>
                <w:rFonts w:ascii="Times New Roman" w:hAnsi="Times New Roman"/>
                <w:color w:val="00B050"/>
                <w:sz w:val="16"/>
                <w:szCs w:val="16"/>
              </w:rPr>
              <w:t> :</w:t>
            </w:r>
            <w:r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</w:t>
            </w:r>
            <w:r w:rsidR="00B05E65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r</w:t>
            </w:r>
            <w:r w:rsidRPr="00722D4D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 xml:space="preserve">especter les règles pour travailler ensemble (s’organiser, </w:t>
            </w:r>
            <w:r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s’écouter</w:t>
            </w:r>
            <w:r w:rsidRPr="00722D4D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 xml:space="preserve">, s’entraider) </w:t>
            </w:r>
            <w:r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et atteindre l</w:t>
            </w:r>
            <w:r w:rsidRPr="00722D4D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es objectifs</w:t>
            </w:r>
            <w:r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 xml:space="preserve"> fixés.</w:t>
            </w:r>
          </w:p>
          <w:p w14:paraId="51B0D209" w14:textId="35A92980" w:rsidR="00B34D7A" w:rsidRPr="00A062C7" w:rsidRDefault="00B34D7A" w:rsidP="00A062C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E1768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En lien avec le domaine 4 (les systèmes naturels et les systèmes techniques)</w:t>
            </w:r>
            <w:r w:rsidRPr="00CD2E3C">
              <w:rPr>
                <w:rFonts w:ascii="Times New Roman" w:hAnsi="Times New Roman"/>
                <w:color w:val="FF0000"/>
                <w:sz w:val="16"/>
                <w:szCs w:val="16"/>
              </w:rPr>
              <w:t> :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B05E6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</w:t>
            </w:r>
            <w:r w:rsidRPr="00EE1768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épondre à des situations de résolutions de problèmes (observer, comprendre, tester, adapter sa réponse)</w:t>
            </w:r>
          </w:p>
          <w:p w14:paraId="0776728C" w14:textId="3124A2E1" w:rsidR="00B34D7A" w:rsidRDefault="00B34D7A" w:rsidP="00B34D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C0504D" w:themeColor="accent2"/>
                <w:sz w:val="16"/>
                <w:szCs w:val="16"/>
              </w:rPr>
            </w:pPr>
            <w:r w:rsidRPr="00EE1768">
              <w:rPr>
                <w:rFonts w:ascii="Times New Roman" w:hAnsi="Times New Roman"/>
                <w:color w:val="C0504D" w:themeColor="accent2"/>
                <w:sz w:val="16"/>
                <w:szCs w:val="16"/>
                <w:u w:val="single"/>
              </w:rPr>
              <w:t xml:space="preserve">En lien avec le domaine 5 (les représentations du monde </w:t>
            </w:r>
            <w:r>
              <w:rPr>
                <w:rFonts w:ascii="Times New Roman" w:hAnsi="Times New Roman"/>
                <w:color w:val="C0504D" w:themeColor="accent2"/>
                <w:sz w:val="16"/>
                <w:szCs w:val="16"/>
                <w:u w:val="single"/>
              </w:rPr>
              <w:t>e</w:t>
            </w:r>
            <w:r w:rsidRPr="00EE1768">
              <w:rPr>
                <w:rFonts w:ascii="Times New Roman" w:hAnsi="Times New Roman"/>
                <w:color w:val="C0504D" w:themeColor="accent2"/>
                <w:sz w:val="16"/>
                <w:szCs w:val="16"/>
                <w:u w:val="single"/>
              </w:rPr>
              <w:t>t de l’activité humaine)</w:t>
            </w:r>
            <w:r w:rsidRPr="00CD2E3C">
              <w:rPr>
                <w:rFonts w:ascii="Times New Roman" w:hAnsi="Times New Roman"/>
                <w:color w:val="C0504D" w:themeColor="accent2"/>
                <w:sz w:val="16"/>
                <w:szCs w:val="16"/>
              </w:rPr>
              <w:t> :</w:t>
            </w:r>
            <w:r>
              <w:rPr>
                <w:rFonts w:ascii="Times New Roman" w:hAnsi="Times New Roman"/>
                <w:color w:val="C0504D" w:themeColor="accent2"/>
                <w:sz w:val="16"/>
                <w:szCs w:val="16"/>
              </w:rPr>
              <w:t xml:space="preserve"> </w:t>
            </w:r>
            <w:r w:rsidR="00B05E65">
              <w:rPr>
                <w:rFonts w:ascii="Times New Roman" w:hAnsi="Times New Roman"/>
                <w:b/>
                <w:color w:val="C0504D" w:themeColor="accent2"/>
                <w:sz w:val="16"/>
                <w:szCs w:val="16"/>
              </w:rPr>
              <w:t>c</w:t>
            </w:r>
            <w:r w:rsidRPr="00EE1768">
              <w:rPr>
                <w:rFonts w:ascii="Times New Roman" w:hAnsi="Times New Roman"/>
                <w:b/>
                <w:color w:val="C0504D" w:themeColor="accent2"/>
                <w:sz w:val="16"/>
                <w:szCs w:val="16"/>
              </w:rPr>
              <w:t>ultiver une attitude de curiosité</w:t>
            </w:r>
            <w:r>
              <w:rPr>
                <w:rFonts w:ascii="Times New Roman" w:hAnsi="Times New Roman"/>
                <w:color w:val="C0504D" w:themeColor="accent2"/>
                <w:sz w:val="16"/>
                <w:szCs w:val="16"/>
              </w:rPr>
              <w:t xml:space="preserve"> </w:t>
            </w:r>
          </w:p>
          <w:p w14:paraId="66151F14" w14:textId="77777777" w:rsidR="00B34D7A" w:rsidRPr="00B34D7A" w:rsidRDefault="00B34D7A" w:rsidP="00B34D7A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16"/>
                <w:szCs w:val="16"/>
              </w:rPr>
            </w:pPr>
          </w:p>
        </w:tc>
      </w:tr>
    </w:tbl>
    <w:p w14:paraId="2A47608F" w14:textId="77777777" w:rsidR="00F143E8" w:rsidRDefault="00F143E8"/>
    <w:sectPr w:rsidR="00F143E8" w:rsidSect="00FF59C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BAAA0" w14:textId="77777777" w:rsidR="00C536F9" w:rsidRDefault="00C536F9" w:rsidP="00C536F9">
      <w:pPr>
        <w:spacing w:after="0" w:line="240" w:lineRule="auto"/>
      </w:pPr>
      <w:r>
        <w:separator/>
      </w:r>
    </w:p>
  </w:endnote>
  <w:endnote w:type="continuationSeparator" w:id="0">
    <w:p w14:paraId="10274761" w14:textId="77777777" w:rsidR="00C536F9" w:rsidRDefault="00C536F9" w:rsidP="00C5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841F" w14:textId="1186BFAF" w:rsidR="00C536F9" w:rsidRPr="00C536F9" w:rsidRDefault="00C536F9" w:rsidP="00C536F9">
    <w:pPr>
      <w:pStyle w:val="Pieddepage"/>
      <w:jc w:val="right"/>
      <w:rPr>
        <w:sz w:val="16"/>
      </w:rPr>
    </w:pPr>
    <w:r w:rsidRPr="00C536F9">
      <w:rPr>
        <w:rFonts w:ascii="Times New Roman" w:hAnsi="Times New Roman"/>
        <w:sz w:val="16"/>
      </w:rPr>
      <w:fldChar w:fldCharType="begin"/>
    </w:r>
    <w:r w:rsidRPr="00C536F9">
      <w:rPr>
        <w:rFonts w:ascii="Times New Roman" w:hAnsi="Times New Roman"/>
        <w:sz w:val="16"/>
      </w:rPr>
      <w:instrText xml:space="preserve"> FILENAME </w:instrText>
    </w:r>
    <w:r w:rsidRPr="00C536F9">
      <w:rPr>
        <w:rFonts w:ascii="Times New Roman" w:hAnsi="Times New Roman"/>
        <w:sz w:val="16"/>
      </w:rPr>
      <w:fldChar w:fldCharType="separate"/>
    </w:r>
    <w:r w:rsidRPr="00C536F9">
      <w:rPr>
        <w:rFonts w:ascii="Times New Roman" w:hAnsi="Times New Roman"/>
        <w:noProof/>
        <w:sz w:val="16"/>
      </w:rPr>
      <w:t>enoveps12-BENETEAU-Annexe1.docx</w:t>
    </w:r>
    <w:r w:rsidRPr="00C536F9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9D89" w14:textId="77777777" w:rsidR="00C536F9" w:rsidRDefault="00C536F9" w:rsidP="00C536F9">
      <w:pPr>
        <w:spacing w:after="0" w:line="240" w:lineRule="auto"/>
      </w:pPr>
      <w:r>
        <w:separator/>
      </w:r>
    </w:p>
  </w:footnote>
  <w:footnote w:type="continuationSeparator" w:id="0">
    <w:p w14:paraId="5B08B66A" w14:textId="77777777" w:rsidR="00C536F9" w:rsidRDefault="00C536F9" w:rsidP="00C53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3BFC"/>
    <w:multiLevelType w:val="hybridMultilevel"/>
    <w:tmpl w:val="20B8796C"/>
    <w:lvl w:ilvl="0" w:tplc="4CD4E9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B8D"/>
    <w:rsid w:val="00A062C7"/>
    <w:rsid w:val="00B05E65"/>
    <w:rsid w:val="00B34D7A"/>
    <w:rsid w:val="00C37B8D"/>
    <w:rsid w:val="00C536F9"/>
    <w:rsid w:val="00F143E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A37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7A"/>
    <w:pPr>
      <w:spacing w:after="160" w:line="259" w:lineRule="auto"/>
    </w:pPr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B34D7A"/>
    <w:pPr>
      <w:spacing w:after="0" w:line="240" w:lineRule="auto"/>
    </w:pPr>
    <w:rPr>
      <w:rFonts w:eastAsiaTheme="minorEastAsia" w:cs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4D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6F9"/>
    <w:rPr>
      <w:rFonts w:eastAsiaTheme="minorEastAsia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5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6F9"/>
    <w:rPr>
      <w:rFonts w:eastAsiaTheme="minorEastAsia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2800</Characters>
  <Application>Microsoft Macintosh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Poupin</dc:creator>
  <cp:keywords/>
  <dc:description/>
  <cp:lastModifiedBy>Bruno DEMAS</cp:lastModifiedBy>
  <cp:revision>6</cp:revision>
  <dcterms:created xsi:type="dcterms:W3CDTF">2016-12-28T17:59:00Z</dcterms:created>
  <dcterms:modified xsi:type="dcterms:W3CDTF">2017-01-03T23:21:00Z</dcterms:modified>
</cp:coreProperties>
</file>