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AEBD3" w14:textId="246B49A5" w:rsidR="00371B01" w:rsidRPr="007F1757" w:rsidRDefault="000113A0" w:rsidP="007F1757">
      <w:pPr>
        <w:jc w:val="center"/>
        <w:rPr>
          <w:b/>
          <w:sz w:val="24"/>
          <w:szCs w:val="24"/>
        </w:rPr>
      </w:pPr>
      <w:r w:rsidRPr="002345B7">
        <w:rPr>
          <w:b/>
          <w:sz w:val="24"/>
          <w:szCs w:val="24"/>
        </w:rPr>
        <w:t>Physique-chimie</w:t>
      </w:r>
      <w:r w:rsidR="004D63FD" w:rsidRPr="002345B7">
        <w:rPr>
          <w:b/>
          <w:sz w:val="24"/>
          <w:szCs w:val="24"/>
        </w:rPr>
        <w:t xml:space="preserve"> </w:t>
      </w:r>
      <w:r w:rsidR="00371B01">
        <w:rPr>
          <w:b/>
          <w:sz w:val="24"/>
          <w:szCs w:val="24"/>
        </w:rPr>
        <w:t xml:space="preserve">en </w:t>
      </w:r>
      <w:r w:rsidR="000D640E" w:rsidRPr="002345B7">
        <w:rPr>
          <w:b/>
          <w:sz w:val="24"/>
          <w:szCs w:val="24"/>
        </w:rPr>
        <w:t>classe</w:t>
      </w:r>
      <w:r w:rsidR="000723ED" w:rsidRPr="002345B7">
        <w:rPr>
          <w:b/>
          <w:sz w:val="24"/>
          <w:szCs w:val="24"/>
        </w:rPr>
        <w:t xml:space="preserve"> </w:t>
      </w:r>
      <w:r w:rsidR="000D640E" w:rsidRPr="002345B7">
        <w:rPr>
          <w:b/>
          <w:sz w:val="24"/>
          <w:szCs w:val="24"/>
        </w:rPr>
        <w:t xml:space="preserve">de </w:t>
      </w:r>
      <w:r w:rsidR="00C7525F">
        <w:rPr>
          <w:b/>
          <w:sz w:val="24"/>
          <w:szCs w:val="24"/>
        </w:rPr>
        <w:t>seconde</w:t>
      </w:r>
      <w:r w:rsidR="00C7525F" w:rsidRPr="002345B7">
        <w:rPr>
          <w:b/>
          <w:sz w:val="24"/>
          <w:szCs w:val="24"/>
        </w:rPr>
        <w:t xml:space="preserve"> </w:t>
      </w:r>
      <w:r w:rsidR="00371B01">
        <w:rPr>
          <w:b/>
          <w:sz w:val="24"/>
          <w:szCs w:val="24"/>
        </w:rPr>
        <w:t>de la voie générale et technologique</w:t>
      </w:r>
    </w:p>
    <w:p w14:paraId="1849ED3A" w14:textId="04FEB4CE" w:rsidR="00D454D4" w:rsidRPr="002345B7" w:rsidRDefault="00D454D4">
      <w:pPr>
        <w:rPr>
          <w:b/>
          <w:sz w:val="24"/>
          <w:u w:val="single"/>
        </w:rPr>
      </w:pPr>
      <w:r w:rsidRPr="002345B7">
        <w:rPr>
          <w:b/>
          <w:sz w:val="24"/>
          <w:u w:val="single"/>
        </w:rPr>
        <w:t>Introduction</w:t>
      </w:r>
    </w:p>
    <w:p w14:paraId="51C06CD3" w14:textId="2008ABDE" w:rsidR="00B53EFA" w:rsidRDefault="0003317A">
      <w:r w:rsidRPr="00E178D4">
        <w:t xml:space="preserve">Les repères donnés ci-dessous ont une valeur indicative et visent simplement à </w:t>
      </w:r>
      <w:r w:rsidR="00A6069E" w:rsidRPr="00E178D4">
        <w:t xml:space="preserve">aider le professeur à </w:t>
      </w:r>
      <w:r w:rsidR="00126168" w:rsidRPr="00E178D4">
        <w:t xml:space="preserve">identifier les capacités </w:t>
      </w:r>
      <w:r w:rsidRPr="00E178D4">
        <w:t>clés qu</w:t>
      </w:r>
      <w:r w:rsidR="00A6069E" w:rsidRPr="00E178D4">
        <w:t>’il</w:t>
      </w:r>
      <w:r w:rsidRPr="00E178D4">
        <w:t xml:space="preserve"> peut choisir </w:t>
      </w:r>
      <w:r w:rsidR="00126168" w:rsidRPr="00E178D4">
        <w:t xml:space="preserve">de travailler durant la période </w:t>
      </w:r>
      <w:r w:rsidRPr="00E178D4">
        <w:t xml:space="preserve">de reprise. Ces capacités ont été </w:t>
      </w:r>
      <w:r w:rsidR="00A6069E" w:rsidRPr="00E178D4">
        <w:t>identifiée</w:t>
      </w:r>
      <w:r w:rsidR="00A814D6" w:rsidRPr="00E178D4">
        <w:t>s</w:t>
      </w:r>
      <w:r w:rsidR="00A6069E" w:rsidRPr="00E178D4">
        <w:t>,</w:t>
      </w:r>
      <w:r w:rsidRPr="00E178D4">
        <w:t xml:space="preserve"> d’une p</w:t>
      </w:r>
      <w:r w:rsidR="00A6069E" w:rsidRPr="00E178D4">
        <w:t>a</w:t>
      </w:r>
      <w:r w:rsidRPr="00E178D4">
        <w:t>rt en fonction de leur importance</w:t>
      </w:r>
      <w:r w:rsidR="00A6069E" w:rsidRPr="00E178D4">
        <w:t xml:space="preserve"> au regard des notions</w:t>
      </w:r>
      <w:r w:rsidRPr="00E178D4">
        <w:t xml:space="preserve"> et</w:t>
      </w:r>
      <w:r w:rsidR="00A6069E" w:rsidRPr="00E178D4">
        <w:t>,</w:t>
      </w:r>
      <w:r w:rsidRPr="00E178D4">
        <w:t xml:space="preserve"> d’autre part dans un objec</w:t>
      </w:r>
      <w:r w:rsidR="00A6069E" w:rsidRPr="00E178D4">
        <w:t xml:space="preserve">tif </w:t>
      </w:r>
      <w:r w:rsidR="006A2979">
        <w:t>de faciliter</w:t>
      </w:r>
      <w:r w:rsidR="00B53EFA">
        <w:t xml:space="preserve"> la compréhension des enseignements des classes ultérieures des voies générales et technologiques dans lesquels la physique-chimie est mobilisée.  </w:t>
      </w:r>
    </w:p>
    <w:p w14:paraId="259E3EE0" w14:textId="41831FBD" w:rsidR="00083338" w:rsidRDefault="0003317A" w:rsidP="0048678F">
      <w:r w:rsidRPr="00E178D4">
        <w:t>Le</w:t>
      </w:r>
      <w:r w:rsidR="00B53EFA">
        <w:t xml:space="preserve"> professeur effectue ses </w:t>
      </w:r>
      <w:r w:rsidRPr="00E178D4">
        <w:t xml:space="preserve">choix </w:t>
      </w:r>
      <w:r w:rsidR="00B53EFA">
        <w:t xml:space="preserve">en fonction de ce qui aura </w:t>
      </w:r>
      <w:r w:rsidRPr="00E178D4">
        <w:t xml:space="preserve">déjà </w:t>
      </w:r>
      <w:r w:rsidR="00B53EFA">
        <w:t xml:space="preserve">été </w:t>
      </w:r>
      <w:r w:rsidRPr="00E178D4">
        <w:t>traité</w:t>
      </w:r>
      <w:r w:rsidR="00D454D4" w:rsidRPr="00E178D4">
        <w:t xml:space="preserve"> </w:t>
      </w:r>
      <w:r w:rsidR="00B53EFA">
        <w:t xml:space="preserve">en classe ou à distance, pendant </w:t>
      </w:r>
      <w:r w:rsidR="00A6069E" w:rsidRPr="00E178D4">
        <w:t>la période de confinement</w:t>
      </w:r>
      <w:r w:rsidRPr="00E178D4">
        <w:t>.</w:t>
      </w:r>
      <w:r w:rsidR="00A6069E" w:rsidRPr="00E178D4">
        <w:t xml:space="preserve"> Pendant cette courte période de reprise</w:t>
      </w:r>
      <w:r w:rsidR="00ED6C8F" w:rsidRPr="00E178D4">
        <w:t xml:space="preserve">, il est </w:t>
      </w:r>
      <w:r w:rsidR="00371B01">
        <w:t>avant tout</w:t>
      </w:r>
      <w:r w:rsidR="00371B01" w:rsidRPr="00E178D4">
        <w:t xml:space="preserve"> </w:t>
      </w:r>
      <w:r w:rsidR="00ED6C8F" w:rsidRPr="00E178D4">
        <w:t xml:space="preserve">nécessaire </w:t>
      </w:r>
      <w:r w:rsidR="00A6069E" w:rsidRPr="00E178D4">
        <w:t>de rassurer et de réengager progressivement les</w:t>
      </w:r>
      <w:r w:rsidR="00ED6C8F" w:rsidRPr="00E178D4">
        <w:t xml:space="preserve"> élèves dans les apprentissages</w:t>
      </w:r>
      <w:r w:rsidR="006A2979">
        <w:t xml:space="preserve"> et dans la pratique active de la démarche scientifique</w:t>
      </w:r>
      <w:r w:rsidR="00ED6C8F" w:rsidRPr="00E178D4">
        <w:t xml:space="preserve">. </w:t>
      </w:r>
      <w:r w:rsidR="0048678F">
        <w:t>Du fait des contraintes sanitaires, il est préférable d’aborder les aspects expérimentaux, essentiels en physique-chimie, par le biais d’expériences de cours conduites par le professeur, d’activités s’appuyant sur des vidéos</w:t>
      </w:r>
      <w:r w:rsidR="00BD46DD">
        <w:t>, des animations,</w:t>
      </w:r>
      <w:r w:rsidR="0048678F">
        <w:t xml:space="preserve"> des logiciels de simulation ou encore par l’exploitation de données expérimentales authentiques.</w:t>
      </w:r>
      <w:r w:rsidR="00083338">
        <w:t xml:space="preserve"> </w:t>
      </w:r>
      <w:r w:rsidR="004F0BFF">
        <w:t xml:space="preserve">Enfin, eu égard à la variabilité vraisemblable des conditions de la reprise (par exemple alternance de séances en présentiel et de travaux à distance), il est recommandé de construire des séances prenant appui sur des activités que les élèves peuvent réaliser en autonomie aussi bien en classe qu'à la maison. Lors d'une séance en présentiel, le professeur peut ainsi accompagner plus particulièrement les élèves absents à la séance précédente.  </w:t>
      </w:r>
      <w:bookmarkStart w:id="0" w:name="_GoBack"/>
      <w:bookmarkEnd w:id="0"/>
    </w:p>
    <w:p w14:paraId="4B5F4553" w14:textId="42DEEEF7" w:rsidR="0048678F" w:rsidRPr="00306282" w:rsidRDefault="0048678F" w:rsidP="0048678F">
      <w:r>
        <w:t>Conformément à l’esprit du programme, l</w:t>
      </w:r>
      <w:r w:rsidRPr="00306282">
        <w:t xml:space="preserve">es capacités numériques ne doivent être mobilisées que </w:t>
      </w:r>
      <w:r>
        <w:t>si elles</w:t>
      </w:r>
      <w:r w:rsidRPr="00306282">
        <w:t xml:space="preserve"> </w:t>
      </w:r>
      <w:r>
        <w:t>facilitent</w:t>
      </w:r>
      <w:r w:rsidRPr="00306282">
        <w:t xml:space="preserve"> l’acquisition des</w:t>
      </w:r>
      <w:r>
        <w:t xml:space="preserve"> concepts abordés</w:t>
      </w:r>
      <w:r w:rsidRPr="00306282">
        <w:t>.</w:t>
      </w:r>
    </w:p>
    <w:p w14:paraId="1D5B3AAC" w14:textId="685660AC" w:rsidR="000D640E" w:rsidRPr="002345B7" w:rsidRDefault="0048678F" w:rsidP="00E178D4">
      <w:pPr>
        <w:rPr>
          <w:b/>
          <w:sz w:val="24"/>
          <w:u w:val="single"/>
        </w:rPr>
      </w:pPr>
      <w:r>
        <w:rPr>
          <w:b/>
          <w:sz w:val="24"/>
          <w:u w:val="single"/>
        </w:rPr>
        <w:t>C</w:t>
      </w:r>
      <w:r w:rsidR="00D454D4" w:rsidRPr="002345B7">
        <w:rPr>
          <w:b/>
          <w:sz w:val="24"/>
          <w:u w:val="single"/>
        </w:rPr>
        <w:t>apacités à travailler en priorité</w:t>
      </w:r>
    </w:p>
    <w:p w14:paraId="4FE69999" w14:textId="77777777" w:rsidR="000113A0" w:rsidRPr="002345B7" w:rsidRDefault="000D640E" w:rsidP="000D640E">
      <w:pPr>
        <w:pStyle w:val="Paragraphedeliste"/>
        <w:numPr>
          <w:ilvl w:val="0"/>
          <w:numId w:val="2"/>
        </w:numPr>
        <w:rPr>
          <w:b/>
          <w:sz w:val="24"/>
        </w:rPr>
      </w:pPr>
      <w:r w:rsidRPr="002345B7">
        <w:rPr>
          <w:b/>
          <w:sz w:val="24"/>
        </w:rPr>
        <w:t>Constitution et transformations de la matière</w:t>
      </w:r>
    </w:p>
    <w:tbl>
      <w:tblPr>
        <w:tblStyle w:val="Grilledutableau"/>
        <w:tblW w:w="0" w:type="auto"/>
        <w:tblLook w:val="04A0" w:firstRow="1" w:lastRow="0" w:firstColumn="1" w:lastColumn="0" w:noHBand="0" w:noVBand="1"/>
      </w:tblPr>
      <w:tblGrid>
        <w:gridCol w:w="4077"/>
        <w:gridCol w:w="5135"/>
      </w:tblGrid>
      <w:tr w:rsidR="00130A57" w:rsidRPr="00E178D4" w14:paraId="3F092C4F" w14:textId="77777777" w:rsidTr="008C3973">
        <w:tc>
          <w:tcPr>
            <w:tcW w:w="4077" w:type="dxa"/>
          </w:tcPr>
          <w:p w14:paraId="5C9F5680" w14:textId="77777777" w:rsidR="00130A57" w:rsidRPr="00E178D4" w:rsidRDefault="00EC7E3D" w:rsidP="005C6539">
            <w:pPr>
              <w:rPr>
                <w:b/>
              </w:rPr>
            </w:pPr>
            <w:r w:rsidRPr="00E178D4">
              <w:rPr>
                <w:b/>
              </w:rPr>
              <w:t>Thèmes abordé</w:t>
            </w:r>
            <w:r w:rsidR="00017564" w:rsidRPr="00E178D4">
              <w:rPr>
                <w:b/>
              </w:rPr>
              <w:t xml:space="preserve">s </w:t>
            </w:r>
          </w:p>
        </w:tc>
        <w:tc>
          <w:tcPr>
            <w:tcW w:w="5135" w:type="dxa"/>
          </w:tcPr>
          <w:p w14:paraId="67C6571F" w14:textId="77777777" w:rsidR="00130A57" w:rsidRPr="00E178D4" w:rsidRDefault="00130A57" w:rsidP="005C6539">
            <w:pPr>
              <w:rPr>
                <w:b/>
              </w:rPr>
            </w:pPr>
            <w:r w:rsidRPr="00E178D4">
              <w:rPr>
                <w:b/>
              </w:rPr>
              <w:t>Capacités à travailler en priorité</w:t>
            </w:r>
          </w:p>
        </w:tc>
      </w:tr>
      <w:tr w:rsidR="00130A57" w:rsidRPr="00E178D4" w14:paraId="0A9D2F62" w14:textId="77777777" w:rsidTr="008C3973">
        <w:trPr>
          <w:trHeight w:val="664"/>
        </w:trPr>
        <w:tc>
          <w:tcPr>
            <w:tcW w:w="4077" w:type="dxa"/>
            <w:tcBorders>
              <w:bottom w:val="dashed" w:sz="4" w:space="0" w:color="auto"/>
            </w:tcBorders>
          </w:tcPr>
          <w:p w14:paraId="5DF5A9B1" w14:textId="06D1A7F6" w:rsidR="000D640E" w:rsidRPr="00E178D4" w:rsidRDefault="006A2979" w:rsidP="00017564">
            <w:pPr>
              <w:pStyle w:val="Default"/>
              <w:numPr>
                <w:ilvl w:val="0"/>
                <w:numId w:val="3"/>
              </w:numPr>
              <w:rPr>
                <w:rFonts w:asciiTheme="minorHAnsi" w:hAnsiTheme="minorHAnsi"/>
                <w:sz w:val="22"/>
                <w:szCs w:val="22"/>
              </w:rPr>
            </w:pPr>
            <w:r>
              <w:rPr>
                <w:rFonts w:asciiTheme="minorHAnsi" w:hAnsiTheme="minorHAnsi"/>
                <w:b/>
                <w:bCs/>
                <w:sz w:val="22"/>
                <w:szCs w:val="22"/>
              </w:rPr>
              <w:t>Constitu</w:t>
            </w:r>
            <w:r w:rsidR="009B081C">
              <w:rPr>
                <w:rFonts w:asciiTheme="minorHAnsi" w:hAnsiTheme="minorHAnsi"/>
                <w:b/>
                <w:bCs/>
                <w:sz w:val="22"/>
                <w:szCs w:val="22"/>
              </w:rPr>
              <w:t>t</w:t>
            </w:r>
            <w:r>
              <w:rPr>
                <w:rFonts w:asciiTheme="minorHAnsi" w:hAnsiTheme="minorHAnsi"/>
                <w:b/>
                <w:bCs/>
                <w:sz w:val="22"/>
                <w:szCs w:val="22"/>
              </w:rPr>
              <w:t>ion de la matière à l’échelle macroscopique et microscopique</w:t>
            </w:r>
          </w:p>
        </w:tc>
        <w:tc>
          <w:tcPr>
            <w:tcW w:w="5135" w:type="dxa"/>
            <w:tcBorders>
              <w:bottom w:val="dashed" w:sz="4" w:space="0" w:color="auto"/>
            </w:tcBorders>
          </w:tcPr>
          <w:p w14:paraId="347BC0B8" w14:textId="77777777" w:rsidR="00130A57" w:rsidRPr="00E178D4" w:rsidRDefault="00130A57" w:rsidP="005C6539"/>
        </w:tc>
      </w:tr>
      <w:tr w:rsidR="00017564" w:rsidRPr="00E178D4" w14:paraId="4B9E7BDA" w14:textId="77777777" w:rsidTr="008C3973">
        <w:trPr>
          <w:trHeight w:val="997"/>
        </w:trPr>
        <w:tc>
          <w:tcPr>
            <w:tcW w:w="4077" w:type="dxa"/>
            <w:tcBorders>
              <w:top w:val="dashed" w:sz="4" w:space="0" w:color="auto"/>
              <w:bottom w:val="dashed" w:sz="4" w:space="0" w:color="auto"/>
            </w:tcBorders>
          </w:tcPr>
          <w:p w14:paraId="4B2F8297" w14:textId="34254F2D" w:rsidR="00017564" w:rsidRPr="00E178D4" w:rsidRDefault="00D964D0" w:rsidP="00017564">
            <w:pPr>
              <w:pStyle w:val="Paragraphedeliste"/>
              <w:numPr>
                <w:ilvl w:val="0"/>
                <w:numId w:val="4"/>
              </w:numPr>
              <w:autoSpaceDE w:val="0"/>
              <w:autoSpaceDN w:val="0"/>
              <w:adjustRightInd w:val="0"/>
              <w:rPr>
                <w:rFonts w:cs="Times New Roman"/>
                <w:color w:val="000000"/>
              </w:rPr>
            </w:pPr>
            <w:r w:rsidRPr="00D964D0">
              <w:rPr>
                <w:rFonts w:cs="Times New Roman"/>
                <w:color w:val="000000"/>
              </w:rPr>
              <w:t>Description et caractérisation de la matière à l’échelle macroscopique</w:t>
            </w:r>
          </w:p>
        </w:tc>
        <w:tc>
          <w:tcPr>
            <w:tcW w:w="5135" w:type="dxa"/>
            <w:tcBorders>
              <w:top w:val="dashed" w:sz="4" w:space="0" w:color="auto"/>
              <w:bottom w:val="dashed" w:sz="4" w:space="0" w:color="auto"/>
            </w:tcBorders>
          </w:tcPr>
          <w:p w14:paraId="77D22B4B" w14:textId="47B11D7C" w:rsidR="00D964D0" w:rsidRDefault="00D964D0" w:rsidP="00A06065">
            <w:r w:rsidRPr="00D964D0">
              <w:t>Distinguer un mélange d’un corps pur</w:t>
            </w:r>
            <w:r w:rsidR="0048678F">
              <w:t> ; un soluté d’un solvant</w:t>
            </w:r>
            <w:r w:rsidR="009664A2">
              <w:t xml:space="preserve"> à partir de données</w:t>
            </w:r>
            <w:r w:rsidR="0048678F">
              <w:t xml:space="preserve"> </w:t>
            </w:r>
          </w:p>
          <w:p w14:paraId="70686BB7" w14:textId="6C258D49" w:rsidR="00A06065" w:rsidRDefault="00BE2EFD" w:rsidP="009664A2">
            <w:r w:rsidRPr="00BE2EFD">
              <w:t xml:space="preserve">Déterminer la valeur d’une concentration en masse </w:t>
            </w:r>
            <w:r w:rsidR="00C22DE5">
              <w:t xml:space="preserve">d’un soluté </w:t>
            </w:r>
            <w:r w:rsidRPr="00BE2EFD">
              <w:t xml:space="preserve">à partir </w:t>
            </w:r>
            <w:r w:rsidR="00C22DE5">
              <w:t>du protocole expérimental d’obtention de la solution</w:t>
            </w:r>
          </w:p>
          <w:p w14:paraId="55201A51" w14:textId="05BF5F35" w:rsidR="009664A2" w:rsidRPr="00E178D4" w:rsidRDefault="009664A2" w:rsidP="009664A2">
            <w:r>
              <w:t xml:space="preserve">Distinguer masse volumique et </w:t>
            </w:r>
            <w:r w:rsidR="00CD37FC">
              <w:t>concentration en masse</w:t>
            </w:r>
          </w:p>
        </w:tc>
      </w:tr>
      <w:tr w:rsidR="009664A2" w:rsidRPr="00E178D4" w14:paraId="1B0F42B7" w14:textId="77777777" w:rsidTr="00896048">
        <w:trPr>
          <w:trHeight w:val="997"/>
        </w:trPr>
        <w:tc>
          <w:tcPr>
            <w:tcW w:w="9212" w:type="dxa"/>
            <w:gridSpan w:val="2"/>
            <w:tcBorders>
              <w:top w:val="dashed" w:sz="4" w:space="0" w:color="auto"/>
              <w:bottom w:val="dashed" w:sz="4" w:space="0" w:color="auto"/>
            </w:tcBorders>
          </w:tcPr>
          <w:p w14:paraId="36E21A14" w14:textId="3D1AD627" w:rsidR="009664A2" w:rsidRPr="00D964D0" w:rsidRDefault="009664A2" w:rsidP="001E3F33">
            <w:r w:rsidRPr="00083338">
              <w:rPr>
                <w:rFonts w:cs="Times New Roman"/>
                <w:color w:val="FF0000"/>
              </w:rPr>
              <w:t>Conseil</w:t>
            </w:r>
            <w:r w:rsidR="001E3F33">
              <w:rPr>
                <w:rFonts w:cs="Times New Roman"/>
                <w:color w:val="FF0000"/>
              </w:rPr>
              <w:t>s</w:t>
            </w:r>
            <w:r w:rsidRPr="00083338">
              <w:rPr>
                <w:rFonts w:cs="Times New Roman"/>
                <w:color w:val="FF0000"/>
              </w:rPr>
              <w:t xml:space="preserve"> : </w:t>
            </w:r>
            <w:r w:rsidR="00083338">
              <w:rPr>
                <w:rFonts w:cs="Times New Roman"/>
                <w:color w:val="FF0000"/>
              </w:rPr>
              <w:t>l</w:t>
            </w:r>
            <w:r w:rsidR="00CD37FC" w:rsidRPr="00083338">
              <w:rPr>
                <w:rFonts w:cs="Times New Roman"/>
                <w:color w:val="FF0000"/>
              </w:rPr>
              <w:t xml:space="preserve">a notion de concentration en masse associée à celle de solution est une notion-clé  </w:t>
            </w:r>
            <w:r w:rsidR="00C35364" w:rsidRPr="00083338">
              <w:rPr>
                <w:rFonts w:cs="Times New Roman"/>
                <w:color w:val="FF0000"/>
              </w:rPr>
              <w:t>de cette partie</w:t>
            </w:r>
            <w:r w:rsidR="00CD37FC" w:rsidRPr="00083338">
              <w:rPr>
                <w:rFonts w:cs="Times New Roman"/>
                <w:color w:val="FF0000"/>
              </w:rPr>
              <w:t xml:space="preserve">. </w:t>
            </w:r>
            <w:r w:rsidRPr="00083338">
              <w:rPr>
                <w:rFonts w:cs="Times New Roman"/>
                <w:color w:val="FF0000"/>
              </w:rPr>
              <w:t xml:space="preserve">Les dosages par étalonnage </w:t>
            </w:r>
            <w:r w:rsidR="00C35364" w:rsidRPr="00083338">
              <w:rPr>
                <w:rFonts w:cs="Times New Roman"/>
                <w:color w:val="FF0000"/>
              </w:rPr>
              <w:t xml:space="preserve">seront </w:t>
            </w:r>
            <w:r w:rsidR="00CD37FC" w:rsidRPr="00083338">
              <w:rPr>
                <w:rFonts w:cs="Times New Roman"/>
                <w:color w:val="FF0000"/>
              </w:rPr>
              <w:t xml:space="preserve"> </w:t>
            </w:r>
            <w:r w:rsidRPr="00083338">
              <w:rPr>
                <w:rFonts w:cs="Times New Roman"/>
                <w:color w:val="FF0000"/>
              </w:rPr>
              <w:t>repris en enseignement de spécialité de première</w:t>
            </w:r>
            <w:r w:rsidR="001E3F33">
              <w:rPr>
                <w:rFonts w:cs="Times New Roman"/>
                <w:color w:val="FF0000"/>
              </w:rPr>
              <w:t xml:space="preserve"> générale et dans les </w:t>
            </w:r>
            <w:r w:rsidR="008C3973">
              <w:rPr>
                <w:rFonts w:cs="Times New Roman"/>
                <w:color w:val="FF0000"/>
              </w:rPr>
              <w:t xml:space="preserve">programmes des </w:t>
            </w:r>
            <w:r w:rsidR="001E3F33">
              <w:rPr>
                <w:rFonts w:cs="Times New Roman"/>
                <w:color w:val="FF0000"/>
              </w:rPr>
              <w:t>séries STL et ST2S</w:t>
            </w:r>
            <w:r w:rsidR="00C35364" w:rsidRPr="00083338">
              <w:rPr>
                <w:rFonts w:cs="Times New Roman"/>
                <w:color w:val="FF0000"/>
              </w:rPr>
              <w:t>. Cette partie permet aussi de travailler sur les unités, multiples et sous-multiples.</w:t>
            </w:r>
          </w:p>
        </w:tc>
      </w:tr>
      <w:tr w:rsidR="00017564" w:rsidRPr="00E178D4" w14:paraId="5F7ED734" w14:textId="77777777" w:rsidTr="008C3973">
        <w:trPr>
          <w:trHeight w:val="720"/>
        </w:trPr>
        <w:tc>
          <w:tcPr>
            <w:tcW w:w="4077" w:type="dxa"/>
            <w:tcBorders>
              <w:top w:val="dashed" w:sz="4" w:space="0" w:color="auto"/>
              <w:bottom w:val="dashed" w:sz="4" w:space="0" w:color="auto"/>
            </w:tcBorders>
          </w:tcPr>
          <w:p w14:paraId="1A023FA7" w14:textId="48421B4A" w:rsidR="00017564" w:rsidRPr="00E178D4" w:rsidRDefault="00D964D0" w:rsidP="00017564">
            <w:pPr>
              <w:pStyle w:val="Paragraphedeliste"/>
              <w:numPr>
                <w:ilvl w:val="0"/>
                <w:numId w:val="4"/>
              </w:numPr>
              <w:autoSpaceDE w:val="0"/>
              <w:autoSpaceDN w:val="0"/>
              <w:adjustRightInd w:val="0"/>
              <w:rPr>
                <w:rFonts w:cs="Times New Roman"/>
                <w:color w:val="000000"/>
              </w:rPr>
            </w:pPr>
            <w:r w:rsidRPr="00D964D0">
              <w:rPr>
                <w:rFonts w:cs="Times New Roman"/>
                <w:color w:val="000000"/>
              </w:rPr>
              <w:t>Modélisation de la matière à l’échelle microscopique</w:t>
            </w:r>
            <w:r w:rsidR="00017564" w:rsidRPr="00E178D4">
              <w:rPr>
                <w:rFonts w:cs="Times New Roman"/>
                <w:color w:val="000000"/>
              </w:rPr>
              <w:t xml:space="preserve"> </w:t>
            </w:r>
          </w:p>
          <w:p w14:paraId="63509AE5" w14:textId="77777777" w:rsidR="00017564" w:rsidRPr="00E178D4" w:rsidRDefault="00017564" w:rsidP="00017564">
            <w:pPr>
              <w:autoSpaceDE w:val="0"/>
              <w:autoSpaceDN w:val="0"/>
              <w:adjustRightInd w:val="0"/>
              <w:rPr>
                <w:b/>
                <w:bCs/>
              </w:rPr>
            </w:pPr>
          </w:p>
        </w:tc>
        <w:tc>
          <w:tcPr>
            <w:tcW w:w="5135" w:type="dxa"/>
            <w:tcBorders>
              <w:top w:val="dashed" w:sz="4" w:space="0" w:color="auto"/>
              <w:bottom w:val="dashed" w:sz="4" w:space="0" w:color="auto"/>
            </w:tcBorders>
          </w:tcPr>
          <w:p w14:paraId="557D1502" w14:textId="5C5FF270" w:rsidR="00A06065" w:rsidRDefault="00C22DE5" w:rsidP="00094B8C">
            <w:r>
              <w:t xml:space="preserve">Utiliser </w:t>
            </w:r>
            <w:r w:rsidR="00D964D0" w:rsidRPr="00D964D0">
              <w:t xml:space="preserve">le terme adapté </w:t>
            </w:r>
            <w:r>
              <w:t>(</w:t>
            </w:r>
            <w:r w:rsidR="00D964D0" w:rsidRPr="00D964D0">
              <w:t>molécule, atome, anion et cation</w:t>
            </w:r>
            <w:r>
              <w:t xml:space="preserve">) </w:t>
            </w:r>
            <w:r w:rsidR="00D964D0" w:rsidRPr="00D964D0">
              <w:t>pour qualifier une entité chimique à partir d’une formule chimique donnée</w:t>
            </w:r>
          </w:p>
          <w:p w14:paraId="5674C44D" w14:textId="77777777" w:rsidR="00D964D0" w:rsidRDefault="00D964D0" w:rsidP="005C6539">
            <w:r w:rsidRPr="00D964D0">
              <w:t>Établir l’écriture conventionnelle d’un noyau à partir de sa composition et inversement.</w:t>
            </w:r>
          </w:p>
          <w:p w14:paraId="136CF8BE" w14:textId="7535E997" w:rsidR="009B081C" w:rsidRDefault="00F12249" w:rsidP="005C6539">
            <w:r>
              <w:t>Relier</w:t>
            </w:r>
            <w:r w:rsidR="009B081C" w:rsidRPr="009B081C">
              <w:t xml:space="preserve"> position </w:t>
            </w:r>
            <w:r>
              <w:t xml:space="preserve">d’un élément </w:t>
            </w:r>
            <w:r w:rsidR="009B081C" w:rsidRPr="009B081C">
              <w:t>dans le tableau périodique</w:t>
            </w:r>
            <w:r>
              <w:t xml:space="preserve">, </w:t>
            </w:r>
            <w:r w:rsidR="009B081C" w:rsidRPr="009B081C">
              <w:t xml:space="preserve">configuration électronique de l’atome à </w:t>
            </w:r>
            <w:r w:rsidR="009B081C" w:rsidRPr="009B081C">
              <w:lastRenderedPageBreak/>
              <w:t>l’état fondamental</w:t>
            </w:r>
            <w:r w:rsidR="00CD37FC">
              <w:t xml:space="preserve"> </w:t>
            </w:r>
            <w:r>
              <w:t xml:space="preserve">électrons de valence de l’atome (pour </w:t>
            </w:r>
            <w:r w:rsidRPr="009B081C">
              <w:t xml:space="preserve">Z </w:t>
            </w:r>
            <w:r w:rsidRPr="009B081C">
              <w:rPr>
                <w:rFonts w:ascii="Cambria Math" w:hAnsi="Cambria Math" w:cs="Cambria Math"/>
              </w:rPr>
              <w:t>⩽</w:t>
            </w:r>
            <w:r w:rsidRPr="009B081C">
              <w:t xml:space="preserve"> 18</w:t>
            </w:r>
            <w:r>
              <w:t>)</w:t>
            </w:r>
          </w:p>
          <w:p w14:paraId="7E7CA342" w14:textId="2F09E4E9" w:rsidR="009B081C" w:rsidRDefault="009B081C" w:rsidP="005C6539">
            <w:r w:rsidRPr="009B081C">
              <w:t>Déterminer la charge électrique d’ions monoatomiques courants</w:t>
            </w:r>
            <w:r w:rsidR="001E3F33">
              <w:t xml:space="preserve"> à partir du tableau périodique</w:t>
            </w:r>
          </w:p>
          <w:p w14:paraId="265329FF" w14:textId="669ECD46" w:rsidR="009B081C" w:rsidRPr="00E178D4" w:rsidRDefault="009B081C" w:rsidP="00371B01">
            <w:r w:rsidRPr="009B081C">
              <w:t xml:space="preserve">Déterminer le nombre d’entités et la quantité de matière (en mol) d’une espèce </w:t>
            </w:r>
            <w:r w:rsidR="00CD37FC">
              <w:t xml:space="preserve">chimique </w:t>
            </w:r>
            <w:r w:rsidR="001E3F33">
              <w:t>dans une masse d’échantillon</w:t>
            </w:r>
          </w:p>
        </w:tc>
      </w:tr>
      <w:tr w:rsidR="00EC7E3D" w:rsidRPr="00E178D4" w14:paraId="2A4EE2C3" w14:textId="77777777" w:rsidTr="005C6539">
        <w:trPr>
          <w:trHeight w:val="787"/>
        </w:trPr>
        <w:tc>
          <w:tcPr>
            <w:tcW w:w="9212" w:type="dxa"/>
            <w:gridSpan w:val="2"/>
            <w:tcBorders>
              <w:top w:val="dashed" w:sz="4" w:space="0" w:color="auto"/>
            </w:tcBorders>
          </w:tcPr>
          <w:p w14:paraId="13B538C0" w14:textId="67B8F1A3" w:rsidR="00F80B2E" w:rsidRPr="007E4B4E" w:rsidRDefault="00EC7E3D" w:rsidP="006158C4">
            <w:pPr>
              <w:rPr>
                <w:color w:val="FF0000"/>
              </w:rPr>
            </w:pPr>
            <w:r w:rsidRPr="00E178D4">
              <w:rPr>
                <w:b/>
                <w:color w:val="FF0000"/>
                <w:u w:val="single"/>
              </w:rPr>
              <w:lastRenderedPageBreak/>
              <w:t>Conseils</w:t>
            </w:r>
            <w:r w:rsidRPr="00E178D4">
              <w:rPr>
                <w:b/>
                <w:color w:val="FF0000"/>
              </w:rPr>
              <w:t> :</w:t>
            </w:r>
            <w:r w:rsidRPr="00E178D4">
              <w:rPr>
                <w:color w:val="FF0000"/>
              </w:rPr>
              <w:t xml:space="preserve"> </w:t>
            </w:r>
            <w:r w:rsidR="001E3F33">
              <w:rPr>
                <w:color w:val="FF0000"/>
              </w:rPr>
              <w:t>l</w:t>
            </w:r>
            <w:r w:rsidR="00C35364">
              <w:rPr>
                <w:color w:val="FF0000"/>
              </w:rPr>
              <w:t>es notions-clés de cette partie sont la reconnaissance des entités constituant la matière, les modèles</w:t>
            </w:r>
            <w:r w:rsidR="00CD37FC">
              <w:rPr>
                <w:color w:val="FF0000"/>
              </w:rPr>
              <w:t xml:space="preserve"> </w:t>
            </w:r>
            <w:r w:rsidR="00C35364">
              <w:rPr>
                <w:color w:val="FF0000"/>
              </w:rPr>
              <w:t>du cortège électronique et de la liaison de valence, ainsi que la stabilité des atomes de gaz nobles. L</w:t>
            </w:r>
            <w:r w:rsidR="00CD37FC">
              <w:rPr>
                <w:color w:val="FF0000"/>
              </w:rPr>
              <w:t>es schémas de Lewis des molécules  seront repris en enseignement de spécialité de première</w:t>
            </w:r>
            <w:r w:rsidR="008C3973">
              <w:rPr>
                <w:color w:val="FF0000"/>
              </w:rPr>
              <w:t xml:space="preserve"> générale et dans les programmes des séries STL et STI2D</w:t>
            </w:r>
            <w:r w:rsidR="00CD37FC">
              <w:rPr>
                <w:color w:val="FF0000"/>
              </w:rPr>
              <w:t>.</w:t>
            </w:r>
            <w:r w:rsidR="00702D1C">
              <w:rPr>
                <w:color w:val="FF0000"/>
              </w:rPr>
              <w:t xml:space="preserve"> </w:t>
            </w:r>
            <w:r w:rsidR="009B081C">
              <w:rPr>
                <w:color w:val="FF0000"/>
              </w:rPr>
              <w:t xml:space="preserve"> </w:t>
            </w:r>
            <w:r w:rsidR="00AE2142">
              <w:rPr>
                <w:color w:val="FF0000"/>
              </w:rPr>
              <w:t>Le comptage des entités dans un échant</w:t>
            </w:r>
            <w:r w:rsidR="001E3F33">
              <w:rPr>
                <w:color w:val="FF0000"/>
              </w:rPr>
              <w:t>i</w:t>
            </w:r>
            <w:r w:rsidR="00AE2142">
              <w:rPr>
                <w:color w:val="FF0000"/>
              </w:rPr>
              <w:t>llon de matière permet  de mobiliser les calculs sur les</w:t>
            </w:r>
            <w:r w:rsidR="00C35364">
              <w:rPr>
                <w:color w:val="FF0000"/>
              </w:rPr>
              <w:t xml:space="preserve"> puissances de 10</w:t>
            </w:r>
            <w:r w:rsidR="00AE2142">
              <w:rPr>
                <w:color w:val="FF0000"/>
              </w:rPr>
              <w:t xml:space="preserve">. </w:t>
            </w:r>
            <w:r w:rsidR="00C35364">
              <w:rPr>
                <w:color w:val="FF0000"/>
              </w:rPr>
              <w:t xml:space="preserve"> </w:t>
            </w:r>
          </w:p>
        </w:tc>
      </w:tr>
      <w:tr w:rsidR="00130A57" w:rsidRPr="00E178D4" w14:paraId="24205165" w14:textId="77777777" w:rsidTr="008C3973">
        <w:trPr>
          <w:trHeight w:val="620"/>
        </w:trPr>
        <w:tc>
          <w:tcPr>
            <w:tcW w:w="4077" w:type="dxa"/>
            <w:tcBorders>
              <w:bottom w:val="dashed" w:sz="4" w:space="0" w:color="auto"/>
            </w:tcBorders>
          </w:tcPr>
          <w:p w14:paraId="46D16FD4" w14:textId="2830A8B9" w:rsidR="00130A57" w:rsidRPr="00E178D4" w:rsidRDefault="009B081C" w:rsidP="00371B01">
            <w:pPr>
              <w:pStyle w:val="Default"/>
              <w:numPr>
                <w:ilvl w:val="0"/>
                <w:numId w:val="3"/>
              </w:numPr>
              <w:rPr>
                <w:rFonts w:asciiTheme="minorHAnsi" w:hAnsiTheme="minorHAnsi"/>
                <w:sz w:val="22"/>
                <w:szCs w:val="22"/>
              </w:rPr>
            </w:pPr>
            <w:r w:rsidRPr="009B081C">
              <w:rPr>
                <w:rFonts w:asciiTheme="minorHAnsi" w:hAnsiTheme="minorHAnsi"/>
                <w:b/>
                <w:bCs/>
                <w:sz w:val="22"/>
                <w:szCs w:val="22"/>
              </w:rPr>
              <w:t>Modélisation des transformations de la matière et transfert d’énergie</w:t>
            </w:r>
            <w:r w:rsidR="00017564" w:rsidRPr="00E178D4">
              <w:rPr>
                <w:rFonts w:asciiTheme="minorHAnsi" w:hAnsiTheme="minorHAnsi"/>
                <w:b/>
                <w:bCs/>
                <w:sz w:val="22"/>
                <w:szCs w:val="22"/>
              </w:rPr>
              <w:t xml:space="preserve"> </w:t>
            </w:r>
          </w:p>
        </w:tc>
        <w:tc>
          <w:tcPr>
            <w:tcW w:w="5135" w:type="dxa"/>
            <w:tcBorders>
              <w:bottom w:val="dashed" w:sz="4" w:space="0" w:color="auto"/>
            </w:tcBorders>
          </w:tcPr>
          <w:p w14:paraId="6BBBF12E" w14:textId="77777777" w:rsidR="00130A57" w:rsidRPr="00E178D4" w:rsidRDefault="00130A57" w:rsidP="005C6539"/>
        </w:tc>
      </w:tr>
      <w:tr w:rsidR="00017564" w:rsidRPr="00E178D4" w14:paraId="435CAC9C" w14:textId="77777777" w:rsidTr="008C3973">
        <w:trPr>
          <w:trHeight w:val="418"/>
        </w:trPr>
        <w:tc>
          <w:tcPr>
            <w:tcW w:w="4077" w:type="dxa"/>
            <w:tcBorders>
              <w:top w:val="dashed" w:sz="4" w:space="0" w:color="auto"/>
              <w:bottom w:val="dashed" w:sz="4" w:space="0" w:color="auto"/>
            </w:tcBorders>
          </w:tcPr>
          <w:p w14:paraId="5459563F" w14:textId="6DC57DE5" w:rsidR="009B081C" w:rsidRPr="00E178D4" w:rsidRDefault="009B081C" w:rsidP="00017564">
            <w:pPr>
              <w:pStyle w:val="Paragraphedeliste"/>
              <w:numPr>
                <w:ilvl w:val="0"/>
                <w:numId w:val="5"/>
              </w:numPr>
              <w:autoSpaceDE w:val="0"/>
              <w:autoSpaceDN w:val="0"/>
              <w:adjustRightInd w:val="0"/>
              <w:rPr>
                <w:rFonts w:cs="Times New Roman"/>
                <w:color w:val="000000"/>
              </w:rPr>
            </w:pPr>
            <w:r w:rsidRPr="009B081C">
              <w:rPr>
                <w:rFonts w:cs="Times New Roman"/>
                <w:color w:val="000000"/>
              </w:rPr>
              <w:t>Transformation physique</w:t>
            </w:r>
          </w:p>
          <w:p w14:paraId="2F2078D1" w14:textId="77777777" w:rsidR="009B081C" w:rsidRDefault="009B081C" w:rsidP="009B081C">
            <w:pPr>
              <w:pStyle w:val="Default"/>
              <w:rPr>
                <w:color w:val="auto"/>
              </w:rPr>
            </w:pPr>
          </w:p>
          <w:p w14:paraId="43A11AEC" w14:textId="77777777" w:rsidR="00017564" w:rsidRPr="00E178D4" w:rsidRDefault="00017564" w:rsidP="00217B40">
            <w:pPr>
              <w:pStyle w:val="Default"/>
              <w:rPr>
                <w:rFonts w:asciiTheme="minorHAnsi" w:hAnsiTheme="minorHAnsi"/>
                <w:b/>
                <w:bCs/>
                <w:sz w:val="22"/>
                <w:szCs w:val="22"/>
              </w:rPr>
            </w:pPr>
          </w:p>
        </w:tc>
        <w:tc>
          <w:tcPr>
            <w:tcW w:w="5135" w:type="dxa"/>
            <w:tcBorders>
              <w:top w:val="dashed" w:sz="4" w:space="0" w:color="auto"/>
              <w:bottom w:val="dashed" w:sz="4" w:space="0" w:color="auto"/>
            </w:tcBorders>
          </w:tcPr>
          <w:p w14:paraId="3EE605AB" w14:textId="4941158D" w:rsidR="00BE2EFD" w:rsidRDefault="00BE2EFD" w:rsidP="009217B9">
            <w:r w:rsidRPr="00BE2EFD">
              <w:t>Citer des exemples de changements d’état</w:t>
            </w:r>
          </w:p>
          <w:p w14:paraId="1585A6CC" w14:textId="3D9FDF59" w:rsidR="009217B9" w:rsidRPr="00E178D4" w:rsidRDefault="00BE2EFD" w:rsidP="00010A5B">
            <w:r w:rsidRPr="00BE2EFD">
              <w:t>Identifier le sens du transfert thermique lors d’un changement d’état et le relier au term</w:t>
            </w:r>
            <w:r w:rsidR="008C3973">
              <w:t>e exothermique ou endothermique</w:t>
            </w:r>
          </w:p>
        </w:tc>
      </w:tr>
      <w:tr w:rsidR="00017564" w:rsidRPr="00E178D4" w14:paraId="747BF140" w14:textId="77777777" w:rsidTr="008C3973">
        <w:trPr>
          <w:trHeight w:val="558"/>
        </w:trPr>
        <w:tc>
          <w:tcPr>
            <w:tcW w:w="4077" w:type="dxa"/>
            <w:tcBorders>
              <w:top w:val="dashed" w:sz="4" w:space="0" w:color="auto"/>
            </w:tcBorders>
          </w:tcPr>
          <w:p w14:paraId="5556C7F8" w14:textId="1F4ACE67" w:rsidR="00017564" w:rsidRPr="00E178D4" w:rsidRDefault="00BE2EFD" w:rsidP="005C6539">
            <w:pPr>
              <w:pStyle w:val="Default"/>
              <w:numPr>
                <w:ilvl w:val="0"/>
                <w:numId w:val="5"/>
              </w:numPr>
              <w:rPr>
                <w:rFonts w:asciiTheme="minorHAnsi" w:hAnsiTheme="minorHAnsi" w:cs="Times New Roman"/>
                <w:sz w:val="22"/>
                <w:szCs w:val="22"/>
              </w:rPr>
            </w:pPr>
            <w:r w:rsidRPr="00BE2EFD">
              <w:rPr>
                <w:rFonts w:asciiTheme="minorHAnsi" w:hAnsiTheme="minorHAnsi"/>
                <w:sz w:val="22"/>
                <w:szCs w:val="22"/>
              </w:rPr>
              <w:t>Transformation chimique</w:t>
            </w:r>
          </w:p>
        </w:tc>
        <w:tc>
          <w:tcPr>
            <w:tcW w:w="5135" w:type="dxa"/>
            <w:tcBorders>
              <w:top w:val="dashed" w:sz="4" w:space="0" w:color="auto"/>
            </w:tcBorders>
          </w:tcPr>
          <w:p w14:paraId="630D15D6" w14:textId="01D1147A" w:rsidR="00017564" w:rsidRDefault="00AE2142" w:rsidP="00BE2EFD">
            <w:r>
              <w:t>Modéliser, à partir de données expérimentales, une transformation par une réaction, é</w:t>
            </w:r>
            <w:r w:rsidRPr="00BE2EFD">
              <w:t>tablir</w:t>
            </w:r>
            <w:r>
              <w:t xml:space="preserve"> </w:t>
            </w:r>
            <w:r w:rsidR="00702D1C">
              <w:t xml:space="preserve">et ajuster </w:t>
            </w:r>
            <w:r w:rsidR="00BE2EFD" w:rsidRPr="00BE2EFD">
              <w:t xml:space="preserve">l’équation </w:t>
            </w:r>
            <w:r>
              <w:t>de</w:t>
            </w:r>
            <w:r w:rsidRPr="00BE2EFD">
              <w:t xml:space="preserve"> </w:t>
            </w:r>
            <w:r w:rsidR="00BE2EFD" w:rsidRPr="00BE2EFD">
              <w:t>réaction</w:t>
            </w:r>
            <w:r>
              <w:t xml:space="preserve"> associée</w:t>
            </w:r>
            <w:r w:rsidR="00702D1C">
              <w:t xml:space="preserve"> </w:t>
            </w:r>
          </w:p>
          <w:p w14:paraId="59C37E17" w14:textId="66ADA766" w:rsidR="00F80B2E" w:rsidRDefault="00F80B2E" w:rsidP="00BE2EFD">
            <w:r w:rsidRPr="00F80B2E">
              <w:t>Identifier le réactif limitan</w:t>
            </w:r>
            <w:r w:rsidR="00702D1C">
              <w:t>t</w:t>
            </w:r>
            <w:r w:rsidR="00AE2142">
              <w:t xml:space="preserve"> à partir des quantités de matière des réactifs et de l’équation de réaction</w:t>
            </w:r>
          </w:p>
          <w:p w14:paraId="7D425320" w14:textId="0DB4B4C1" w:rsidR="002A22AD" w:rsidRPr="00E178D4" w:rsidRDefault="00094B8C" w:rsidP="00094B8C">
            <w:r>
              <w:t xml:space="preserve">Relier </w:t>
            </w:r>
            <w:r w:rsidR="002A22AD" w:rsidRPr="002A22AD">
              <w:t xml:space="preserve">l’évolution </w:t>
            </w:r>
            <w:r w:rsidR="002A22AD">
              <w:t xml:space="preserve">expérimentale </w:t>
            </w:r>
            <w:r w:rsidR="002A22AD" w:rsidRPr="002A22AD">
              <w:t xml:space="preserve">d’une température </w:t>
            </w:r>
            <w:r>
              <w:t>au</w:t>
            </w:r>
            <w:r w:rsidR="002A22AD" w:rsidRPr="002A22AD">
              <w:t xml:space="preserve"> caractère endothermique ou exothermiqu</w:t>
            </w:r>
            <w:r w:rsidR="008C3973">
              <w:t>e d’une transformation chimique</w:t>
            </w:r>
          </w:p>
        </w:tc>
      </w:tr>
      <w:tr w:rsidR="002A22AD" w:rsidRPr="00E178D4" w14:paraId="13AD1A96" w14:textId="77777777" w:rsidTr="008C3973">
        <w:trPr>
          <w:trHeight w:val="887"/>
        </w:trPr>
        <w:tc>
          <w:tcPr>
            <w:tcW w:w="4077" w:type="dxa"/>
            <w:tcBorders>
              <w:top w:val="dashed" w:sz="4" w:space="0" w:color="auto"/>
            </w:tcBorders>
          </w:tcPr>
          <w:p w14:paraId="4C26689C" w14:textId="61535B69" w:rsidR="002A22AD" w:rsidRPr="00BE2EFD" w:rsidRDefault="002A22AD" w:rsidP="005C6539">
            <w:pPr>
              <w:pStyle w:val="Default"/>
              <w:numPr>
                <w:ilvl w:val="0"/>
                <w:numId w:val="5"/>
              </w:numPr>
              <w:rPr>
                <w:rFonts w:asciiTheme="minorHAnsi" w:hAnsiTheme="minorHAnsi"/>
                <w:sz w:val="22"/>
                <w:szCs w:val="22"/>
              </w:rPr>
            </w:pPr>
            <w:r w:rsidRPr="002A22AD">
              <w:rPr>
                <w:rFonts w:asciiTheme="minorHAnsi" w:hAnsiTheme="minorHAnsi"/>
                <w:sz w:val="22"/>
                <w:szCs w:val="22"/>
              </w:rPr>
              <w:t>Transformation nucléaire</w:t>
            </w:r>
          </w:p>
        </w:tc>
        <w:tc>
          <w:tcPr>
            <w:tcW w:w="5135" w:type="dxa"/>
            <w:tcBorders>
              <w:top w:val="dashed" w:sz="4" w:space="0" w:color="auto"/>
            </w:tcBorders>
          </w:tcPr>
          <w:p w14:paraId="3B59B05C" w14:textId="5F6CCEF3" w:rsidR="002A22AD" w:rsidRDefault="008C3973" w:rsidP="00BE2EFD">
            <w:r>
              <w:t>Identifier des isotopes</w:t>
            </w:r>
          </w:p>
          <w:p w14:paraId="7887FACA" w14:textId="3F227C1B" w:rsidR="002A22AD" w:rsidRPr="00BE2EFD" w:rsidRDefault="002A22AD" w:rsidP="00BE2EFD">
            <w:r w:rsidRPr="002A22AD">
              <w:t>Relier l’énergie convertie dans le Soleil et dans une centrale nuclé</w:t>
            </w:r>
            <w:r w:rsidR="008C3973">
              <w:t>aire à des réactions nucléaires</w:t>
            </w:r>
          </w:p>
        </w:tc>
      </w:tr>
      <w:tr w:rsidR="00EC7E3D" w:rsidRPr="00E178D4" w14:paraId="11D7C971" w14:textId="77777777" w:rsidTr="005C6539">
        <w:trPr>
          <w:trHeight w:val="887"/>
        </w:trPr>
        <w:tc>
          <w:tcPr>
            <w:tcW w:w="9212" w:type="dxa"/>
            <w:gridSpan w:val="2"/>
            <w:tcBorders>
              <w:top w:val="dashed" w:sz="4" w:space="0" w:color="auto"/>
            </w:tcBorders>
          </w:tcPr>
          <w:p w14:paraId="51E3238D" w14:textId="76C4FD8B" w:rsidR="00EC7E3D" w:rsidRPr="00136476" w:rsidRDefault="00EC7E3D" w:rsidP="008C3973">
            <w:pPr>
              <w:rPr>
                <w:color w:val="FF0000"/>
              </w:rPr>
            </w:pPr>
            <w:r w:rsidRPr="00371B01">
              <w:rPr>
                <w:b/>
                <w:color w:val="FF0000"/>
                <w:u w:val="single"/>
              </w:rPr>
              <w:t>Conseils</w:t>
            </w:r>
            <w:r w:rsidRPr="00371B01">
              <w:rPr>
                <w:b/>
                <w:color w:val="FF0000"/>
              </w:rPr>
              <w:t> :</w:t>
            </w:r>
            <w:r w:rsidR="008C3973">
              <w:rPr>
                <w:color w:val="FF0000"/>
              </w:rPr>
              <w:t xml:space="preserve"> l</w:t>
            </w:r>
            <w:r w:rsidR="00AE2142">
              <w:rPr>
                <w:color w:val="FF0000"/>
              </w:rPr>
              <w:t xml:space="preserve">es </w:t>
            </w:r>
            <w:r w:rsidR="00136476">
              <w:rPr>
                <w:color w:val="FF0000"/>
              </w:rPr>
              <w:t>attendus</w:t>
            </w:r>
            <w:r w:rsidR="00094B8C">
              <w:rPr>
                <w:color w:val="FF0000"/>
              </w:rPr>
              <w:t xml:space="preserve"> </w:t>
            </w:r>
            <w:r w:rsidR="00AE2142">
              <w:rPr>
                <w:color w:val="FF0000"/>
              </w:rPr>
              <w:t>sont l’</w:t>
            </w:r>
            <w:r w:rsidR="00AE2142" w:rsidRPr="00371B01">
              <w:rPr>
                <w:color w:val="FF0000"/>
              </w:rPr>
              <w:t>identifi</w:t>
            </w:r>
            <w:r w:rsidR="00AE2142">
              <w:rPr>
                <w:color w:val="FF0000"/>
              </w:rPr>
              <w:t>cation de</w:t>
            </w:r>
            <w:r w:rsidR="00AE2142" w:rsidRPr="00371B01">
              <w:rPr>
                <w:color w:val="FF0000"/>
              </w:rPr>
              <w:t xml:space="preserve"> </w:t>
            </w:r>
            <w:r w:rsidR="002A22AD" w:rsidRPr="00371B01">
              <w:rPr>
                <w:color w:val="FF0000"/>
              </w:rPr>
              <w:t>la nature physique, chimique ou nucléaire d’une transformation à partir de sa description ou d’une écriture symbolique modélisant la transformation</w:t>
            </w:r>
            <w:r w:rsidR="00136476">
              <w:rPr>
                <w:color w:val="FF0000"/>
              </w:rPr>
              <w:t>, ainsi que du caractère endo ou exothermique d’une transformation à partir de données exp</w:t>
            </w:r>
            <w:r w:rsidR="008C3973">
              <w:rPr>
                <w:color w:val="FF0000"/>
              </w:rPr>
              <w:t>érimentales</w:t>
            </w:r>
            <w:r w:rsidR="002A22AD" w:rsidRPr="00371B01">
              <w:rPr>
                <w:color w:val="FF0000"/>
              </w:rPr>
              <w:t>.</w:t>
            </w:r>
            <w:r w:rsidR="00AE2142">
              <w:rPr>
                <w:color w:val="FF0000"/>
              </w:rPr>
              <w:t xml:space="preserve"> Au niveau </w:t>
            </w:r>
            <w:r w:rsidR="008C3973">
              <w:rPr>
                <w:color w:val="FF0000"/>
              </w:rPr>
              <w:t xml:space="preserve">des transformations chimiques, </w:t>
            </w:r>
            <w:r w:rsidR="00AE2142">
              <w:rPr>
                <w:color w:val="FF0000"/>
              </w:rPr>
              <w:t xml:space="preserve">une des notions-clés est celle </w:t>
            </w:r>
            <w:r w:rsidR="00136476">
              <w:rPr>
                <w:color w:val="FF0000"/>
              </w:rPr>
              <w:t>de réactif limitant.</w:t>
            </w:r>
          </w:p>
        </w:tc>
      </w:tr>
    </w:tbl>
    <w:p w14:paraId="5A0D2341" w14:textId="77777777" w:rsidR="00E178D4" w:rsidRDefault="00E178D4" w:rsidP="00E178D4">
      <w:pPr>
        <w:pStyle w:val="Paragraphedeliste"/>
        <w:ind w:left="360"/>
        <w:rPr>
          <w:b/>
          <w:sz w:val="24"/>
        </w:rPr>
      </w:pPr>
    </w:p>
    <w:p w14:paraId="450E5798" w14:textId="77777777" w:rsidR="000113A0" w:rsidRPr="00E178D4" w:rsidRDefault="000113A0" w:rsidP="00130A57">
      <w:pPr>
        <w:pStyle w:val="Paragraphedeliste"/>
        <w:numPr>
          <w:ilvl w:val="0"/>
          <w:numId w:val="1"/>
        </w:numPr>
        <w:rPr>
          <w:b/>
          <w:sz w:val="24"/>
        </w:rPr>
      </w:pPr>
      <w:r w:rsidRPr="00E178D4">
        <w:rPr>
          <w:b/>
          <w:sz w:val="24"/>
        </w:rPr>
        <w:t xml:space="preserve">Mouvement et interactions </w:t>
      </w:r>
    </w:p>
    <w:tbl>
      <w:tblPr>
        <w:tblStyle w:val="Grilledutableau"/>
        <w:tblW w:w="0" w:type="auto"/>
        <w:tblLook w:val="04A0" w:firstRow="1" w:lastRow="0" w:firstColumn="1" w:lastColumn="0" w:noHBand="0" w:noVBand="1"/>
      </w:tblPr>
      <w:tblGrid>
        <w:gridCol w:w="4077"/>
        <w:gridCol w:w="5135"/>
      </w:tblGrid>
      <w:tr w:rsidR="00705974" w:rsidRPr="00E178D4" w14:paraId="08B99C9B" w14:textId="77777777" w:rsidTr="008C3973">
        <w:tc>
          <w:tcPr>
            <w:tcW w:w="4077" w:type="dxa"/>
          </w:tcPr>
          <w:p w14:paraId="52433A09" w14:textId="77777777" w:rsidR="00705974" w:rsidRPr="00E178D4" w:rsidRDefault="00EC7E3D" w:rsidP="005C6539">
            <w:pPr>
              <w:rPr>
                <w:b/>
              </w:rPr>
            </w:pPr>
            <w:r w:rsidRPr="00E178D4">
              <w:rPr>
                <w:b/>
              </w:rPr>
              <w:t>Thèmes abordés</w:t>
            </w:r>
          </w:p>
        </w:tc>
        <w:tc>
          <w:tcPr>
            <w:tcW w:w="5135" w:type="dxa"/>
          </w:tcPr>
          <w:p w14:paraId="7816409C" w14:textId="77777777" w:rsidR="00705974" w:rsidRPr="00E178D4" w:rsidRDefault="0003317A" w:rsidP="005C6539">
            <w:pPr>
              <w:rPr>
                <w:b/>
              </w:rPr>
            </w:pPr>
            <w:r w:rsidRPr="00E178D4">
              <w:rPr>
                <w:b/>
              </w:rPr>
              <w:t>Capacités à travailler en priorité</w:t>
            </w:r>
          </w:p>
        </w:tc>
      </w:tr>
      <w:tr w:rsidR="00094B8C" w:rsidRPr="00E178D4" w14:paraId="5A432DD7" w14:textId="77777777" w:rsidTr="008C3973">
        <w:tc>
          <w:tcPr>
            <w:tcW w:w="4077" w:type="dxa"/>
            <w:tcBorders>
              <w:bottom w:val="dashed" w:sz="4" w:space="0" w:color="auto"/>
            </w:tcBorders>
          </w:tcPr>
          <w:p w14:paraId="6C343CBC" w14:textId="278486D4" w:rsidR="00094B8C" w:rsidRPr="002A22AD" w:rsidRDefault="00094B8C" w:rsidP="00EC7E3D">
            <w:pPr>
              <w:pStyle w:val="Default"/>
              <w:numPr>
                <w:ilvl w:val="0"/>
                <w:numId w:val="8"/>
              </w:numPr>
              <w:rPr>
                <w:rFonts w:asciiTheme="minorHAnsi" w:hAnsiTheme="minorHAnsi"/>
                <w:b/>
                <w:bCs/>
                <w:sz w:val="22"/>
                <w:szCs w:val="22"/>
              </w:rPr>
            </w:pPr>
            <w:r w:rsidRPr="002A22AD">
              <w:rPr>
                <w:rFonts w:asciiTheme="minorHAnsi" w:hAnsiTheme="minorHAnsi"/>
                <w:b/>
                <w:bCs/>
                <w:sz w:val="22"/>
                <w:szCs w:val="22"/>
              </w:rPr>
              <w:t>Décrire un mouvement</w:t>
            </w:r>
          </w:p>
        </w:tc>
        <w:tc>
          <w:tcPr>
            <w:tcW w:w="5135" w:type="dxa"/>
            <w:tcBorders>
              <w:bottom w:val="dashed" w:sz="4" w:space="0" w:color="auto"/>
            </w:tcBorders>
          </w:tcPr>
          <w:p w14:paraId="2B0AD968" w14:textId="77777777" w:rsidR="00094B8C" w:rsidRPr="00633795" w:rsidRDefault="00094B8C" w:rsidP="00633795"/>
        </w:tc>
      </w:tr>
      <w:tr w:rsidR="000113A0" w:rsidRPr="00E178D4" w14:paraId="086371F3" w14:textId="77777777" w:rsidTr="008C3973">
        <w:tc>
          <w:tcPr>
            <w:tcW w:w="4077" w:type="dxa"/>
            <w:tcBorders>
              <w:top w:val="dashed" w:sz="4" w:space="0" w:color="auto"/>
            </w:tcBorders>
          </w:tcPr>
          <w:p w14:paraId="53B9AA91" w14:textId="3FC3C3B6" w:rsidR="00EC7E3D" w:rsidRPr="00E178D4" w:rsidRDefault="00EC7E3D" w:rsidP="00371B01">
            <w:pPr>
              <w:pStyle w:val="Default"/>
              <w:ind w:left="360"/>
              <w:rPr>
                <w:rFonts w:asciiTheme="minorHAnsi" w:hAnsiTheme="minorHAnsi"/>
                <w:sz w:val="22"/>
                <w:szCs w:val="22"/>
              </w:rPr>
            </w:pPr>
          </w:p>
        </w:tc>
        <w:tc>
          <w:tcPr>
            <w:tcW w:w="5135" w:type="dxa"/>
            <w:tcBorders>
              <w:top w:val="dashed" w:sz="4" w:space="0" w:color="auto"/>
            </w:tcBorders>
          </w:tcPr>
          <w:p w14:paraId="0A635DB6" w14:textId="2BD9CD1F" w:rsidR="00633795" w:rsidRDefault="00633795" w:rsidP="00633795">
            <w:r w:rsidRPr="00633795">
              <w:t>Choisir un référentiel pour dé</w:t>
            </w:r>
            <w:r w:rsidR="008C3973">
              <w:t>crire le mouvement d’un système</w:t>
            </w:r>
          </w:p>
          <w:p w14:paraId="008F5D3D" w14:textId="338A100E" w:rsidR="00633795" w:rsidRDefault="00633795" w:rsidP="00633795">
            <w:r w:rsidRPr="00633795">
              <w:t>Définir le vec</w:t>
            </w:r>
            <w:r w:rsidR="008C3973">
              <w:t>teur vitesse moyenne d’un point</w:t>
            </w:r>
          </w:p>
          <w:p w14:paraId="0EF89544" w14:textId="78F81B59" w:rsidR="00633795" w:rsidRDefault="00633795" w:rsidP="00633795">
            <w:r>
              <w:t>Caractériser un mouvement rect</w:t>
            </w:r>
            <w:r w:rsidR="008C3973">
              <w:t>iligne uniforme ou non uniforme</w:t>
            </w:r>
          </w:p>
          <w:p w14:paraId="40AB5833" w14:textId="658C62F1" w:rsidR="00D42F54" w:rsidRPr="00E178D4" w:rsidRDefault="00633795" w:rsidP="008C3973">
            <w:r>
              <w:t>Exploiter une vidéo ou une</w:t>
            </w:r>
            <w:r w:rsidR="008C3973">
              <w:t xml:space="preserve"> </w:t>
            </w:r>
            <w:r>
              <w:t xml:space="preserve">chronophotographie d’un système en mouvement et représenter des vecteurs vitesse ; décrire </w:t>
            </w:r>
            <w:r w:rsidR="008C3973">
              <w:t>la variation du vecteur vitesse</w:t>
            </w:r>
          </w:p>
        </w:tc>
      </w:tr>
      <w:tr w:rsidR="00EC7E3D" w:rsidRPr="00E178D4" w14:paraId="16377B22" w14:textId="77777777" w:rsidTr="005C6539">
        <w:tc>
          <w:tcPr>
            <w:tcW w:w="9212" w:type="dxa"/>
            <w:gridSpan w:val="2"/>
          </w:tcPr>
          <w:p w14:paraId="6A172D73" w14:textId="6C384666" w:rsidR="00EC7E3D" w:rsidRPr="00E178D4" w:rsidRDefault="00EC7E3D" w:rsidP="00D42F54">
            <w:pPr>
              <w:rPr>
                <w:color w:val="FF0000"/>
              </w:rPr>
            </w:pPr>
            <w:r w:rsidRPr="00E178D4">
              <w:rPr>
                <w:b/>
                <w:color w:val="FF0000"/>
                <w:u w:val="single"/>
              </w:rPr>
              <w:t>Conseil </w:t>
            </w:r>
            <w:r w:rsidRPr="00E178D4">
              <w:rPr>
                <w:color w:val="FF0000"/>
              </w:rPr>
              <w:t>:</w:t>
            </w:r>
            <w:r w:rsidR="00D42F54" w:rsidRPr="00E178D4">
              <w:rPr>
                <w:color w:val="FF0000"/>
              </w:rPr>
              <w:t xml:space="preserve"> </w:t>
            </w:r>
            <w:r w:rsidR="008C3973">
              <w:rPr>
                <w:color w:val="FF0000"/>
              </w:rPr>
              <w:t>c</w:t>
            </w:r>
            <w:r w:rsidR="007131A5">
              <w:rPr>
                <w:color w:val="FF0000"/>
              </w:rPr>
              <w:t>ette partie se prête très bien à l’</w:t>
            </w:r>
            <w:r w:rsidR="00187D3D">
              <w:rPr>
                <w:color w:val="FF0000"/>
              </w:rPr>
              <w:t>exploitation</w:t>
            </w:r>
            <w:r w:rsidR="007131A5">
              <w:rPr>
                <w:color w:val="FF0000"/>
              </w:rPr>
              <w:t xml:space="preserve"> de vidéos et </w:t>
            </w:r>
            <w:r w:rsidR="00187D3D">
              <w:rPr>
                <w:color w:val="FF0000"/>
              </w:rPr>
              <w:t xml:space="preserve">à l’utilisation </w:t>
            </w:r>
            <w:r w:rsidR="007131A5">
              <w:rPr>
                <w:color w:val="FF0000"/>
              </w:rPr>
              <w:t xml:space="preserve">de logiciels de simulation. </w:t>
            </w:r>
          </w:p>
        </w:tc>
      </w:tr>
      <w:tr w:rsidR="000113A0" w:rsidRPr="00E178D4" w14:paraId="56C3AE50" w14:textId="77777777" w:rsidTr="00F84687">
        <w:tc>
          <w:tcPr>
            <w:tcW w:w="4077" w:type="dxa"/>
            <w:tcBorders>
              <w:bottom w:val="dashed" w:sz="4" w:space="0" w:color="auto"/>
            </w:tcBorders>
          </w:tcPr>
          <w:p w14:paraId="41D620AB" w14:textId="54A2A250" w:rsidR="000113A0" w:rsidRPr="00E178D4" w:rsidRDefault="002A22AD" w:rsidP="00371B01">
            <w:pPr>
              <w:pStyle w:val="Default"/>
              <w:numPr>
                <w:ilvl w:val="0"/>
                <w:numId w:val="8"/>
              </w:numPr>
            </w:pPr>
            <w:r w:rsidRPr="002A22AD">
              <w:rPr>
                <w:rFonts w:asciiTheme="minorHAnsi" w:hAnsiTheme="minorHAnsi"/>
                <w:b/>
                <w:bCs/>
                <w:sz w:val="22"/>
                <w:szCs w:val="22"/>
              </w:rPr>
              <w:t>Modéliser une action sur un système</w:t>
            </w:r>
          </w:p>
        </w:tc>
        <w:tc>
          <w:tcPr>
            <w:tcW w:w="5135" w:type="dxa"/>
            <w:tcBorders>
              <w:bottom w:val="dashed" w:sz="4" w:space="0" w:color="auto"/>
            </w:tcBorders>
          </w:tcPr>
          <w:p w14:paraId="4EB0268C" w14:textId="7E39AC1A" w:rsidR="00633795" w:rsidRPr="00E178D4" w:rsidRDefault="00633795" w:rsidP="00633795">
            <w:r>
              <w:t xml:space="preserve"> </w:t>
            </w:r>
          </w:p>
        </w:tc>
      </w:tr>
      <w:tr w:rsidR="00187D3D" w:rsidRPr="00E178D4" w14:paraId="20D31960" w14:textId="77777777" w:rsidTr="00F84687">
        <w:tc>
          <w:tcPr>
            <w:tcW w:w="4077" w:type="dxa"/>
            <w:tcBorders>
              <w:top w:val="dashed" w:sz="4" w:space="0" w:color="auto"/>
            </w:tcBorders>
          </w:tcPr>
          <w:p w14:paraId="7F9D680C" w14:textId="77777777" w:rsidR="00187D3D" w:rsidRPr="002A22AD" w:rsidRDefault="00187D3D" w:rsidP="00371B01">
            <w:pPr>
              <w:pStyle w:val="Default"/>
              <w:ind w:left="360"/>
              <w:rPr>
                <w:rFonts w:asciiTheme="minorHAnsi" w:hAnsiTheme="minorHAnsi"/>
                <w:b/>
                <w:bCs/>
                <w:sz w:val="22"/>
                <w:szCs w:val="22"/>
              </w:rPr>
            </w:pPr>
          </w:p>
        </w:tc>
        <w:tc>
          <w:tcPr>
            <w:tcW w:w="5135" w:type="dxa"/>
            <w:tcBorders>
              <w:top w:val="dashed" w:sz="4" w:space="0" w:color="auto"/>
            </w:tcBorders>
          </w:tcPr>
          <w:p w14:paraId="68908260" w14:textId="4252AAC3" w:rsidR="00187D3D" w:rsidRDefault="00187D3D" w:rsidP="00187D3D">
            <w:r>
              <w:t>Représenter une force par un vecteur ayant un</w:t>
            </w:r>
            <w:r w:rsidR="008C3973">
              <w:t>e norme, une direction, un sens</w:t>
            </w:r>
          </w:p>
          <w:p w14:paraId="0AE69BA8" w14:textId="280F0E30" w:rsidR="00187D3D" w:rsidRDefault="00187D3D" w:rsidP="00187D3D">
            <w:r w:rsidRPr="00633795">
              <w:t>Exploiter le p</w:t>
            </w:r>
            <w:r w:rsidR="008C3973">
              <w:t>rincipe des actions réciproques</w:t>
            </w:r>
          </w:p>
          <w:p w14:paraId="54AD8BA5" w14:textId="55CE144D" w:rsidR="00187D3D" w:rsidRDefault="00187D3D" w:rsidP="00187D3D">
            <w:r>
              <w:t xml:space="preserve">Utiliser l’expression </w:t>
            </w:r>
            <w:r w:rsidR="008C3973">
              <w:t xml:space="preserve">vectorielle du poids d’un objet, la relier à la force d’interaction gravitationnelle s’exerçant sur cet objet </w:t>
            </w:r>
          </w:p>
        </w:tc>
      </w:tr>
      <w:tr w:rsidR="00EC7E3D" w:rsidRPr="00E178D4" w14:paraId="0BBC8F79" w14:textId="77777777" w:rsidTr="005C6539">
        <w:tc>
          <w:tcPr>
            <w:tcW w:w="9212" w:type="dxa"/>
            <w:gridSpan w:val="2"/>
          </w:tcPr>
          <w:p w14:paraId="2C030AA8" w14:textId="36B9186B" w:rsidR="00EC7E3D" w:rsidRPr="00E178D4" w:rsidRDefault="00EC7E3D" w:rsidP="00F84687">
            <w:pPr>
              <w:rPr>
                <w:color w:val="FF0000"/>
              </w:rPr>
            </w:pPr>
            <w:r w:rsidRPr="00E178D4">
              <w:rPr>
                <w:b/>
                <w:color w:val="FF0000"/>
                <w:u w:val="single"/>
              </w:rPr>
              <w:t>Conseil </w:t>
            </w:r>
            <w:r w:rsidRPr="00E178D4">
              <w:rPr>
                <w:color w:val="FF0000"/>
              </w:rPr>
              <w:t>:</w:t>
            </w:r>
            <w:r w:rsidR="00D42F54" w:rsidRPr="00E178D4">
              <w:rPr>
                <w:color w:val="FF0000"/>
              </w:rPr>
              <w:t xml:space="preserve"> </w:t>
            </w:r>
            <w:r w:rsidR="008C3973">
              <w:rPr>
                <w:color w:val="FF0000"/>
              </w:rPr>
              <w:t>l</w:t>
            </w:r>
            <w:r w:rsidR="00187D3D">
              <w:rPr>
                <w:color w:val="FF0000"/>
              </w:rPr>
              <w:t xml:space="preserve">es situations envisagées </w:t>
            </w:r>
            <w:r w:rsidR="00C2224F">
              <w:rPr>
                <w:color w:val="FF0000"/>
              </w:rPr>
              <w:t>s’appu</w:t>
            </w:r>
            <w:r w:rsidR="000F00E4">
              <w:rPr>
                <w:color w:val="FF0000"/>
              </w:rPr>
              <w:t xml:space="preserve">ient </w:t>
            </w:r>
            <w:r w:rsidR="00F84687">
              <w:rPr>
                <w:color w:val="FF0000"/>
              </w:rPr>
              <w:t>de manière privilégiée</w:t>
            </w:r>
            <w:r w:rsidR="000F00E4">
              <w:rPr>
                <w:color w:val="FF0000"/>
              </w:rPr>
              <w:t xml:space="preserve"> </w:t>
            </w:r>
            <w:r w:rsidR="00C2224F">
              <w:rPr>
                <w:color w:val="FF0000"/>
              </w:rPr>
              <w:t xml:space="preserve">sur les exemples de forces citées dans le programme (interaction gravitationnelle, poids, force exercée par un support et par un fil). </w:t>
            </w:r>
          </w:p>
        </w:tc>
      </w:tr>
      <w:tr w:rsidR="00EC7E3D" w:rsidRPr="00E178D4" w14:paraId="49AEB3AB" w14:textId="77777777" w:rsidTr="00F84687">
        <w:tc>
          <w:tcPr>
            <w:tcW w:w="4077" w:type="dxa"/>
            <w:tcBorders>
              <w:bottom w:val="dashed" w:sz="4" w:space="0" w:color="auto"/>
            </w:tcBorders>
          </w:tcPr>
          <w:p w14:paraId="27C48E08" w14:textId="483CE47F" w:rsidR="00EC7E3D" w:rsidRPr="00371B01" w:rsidRDefault="00554582" w:rsidP="00371B01">
            <w:pPr>
              <w:pStyle w:val="Default"/>
              <w:numPr>
                <w:ilvl w:val="0"/>
                <w:numId w:val="8"/>
              </w:numPr>
              <w:rPr>
                <w:rFonts w:asciiTheme="minorHAnsi" w:hAnsiTheme="minorHAnsi"/>
                <w:sz w:val="22"/>
                <w:szCs w:val="22"/>
              </w:rPr>
            </w:pPr>
            <w:r w:rsidRPr="00554582">
              <w:rPr>
                <w:rFonts w:asciiTheme="minorHAnsi" w:hAnsiTheme="minorHAnsi"/>
                <w:b/>
                <w:bCs/>
                <w:sz w:val="22"/>
                <w:szCs w:val="22"/>
              </w:rPr>
              <w:t>Principe d’inertie</w:t>
            </w:r>
            <w:r w:rsidR="00EC7E3D" w:rsidRPr="00E178D4">
              <w:rPr>
                <w:rFonts w:asciiTheme="minorHAnsi" w:hAnsiTheme="minorHAnsi"/>
                <w:b/>
                <w:bCs/>
                <w:sz w:val="22"/>
                <w:szCs w:val="22"/>
              </w:rPr>
              <w:t xml:space="preserve"> </w:t>
            </w:r>
          </w:p>
        </w:tc>
        <w:tc>
          <w:tcPr>
            <w:tcW w:w="5135" w:type="dxa"/>
            <w:tcBorders>
              <w:bottom w:val="dashed" w:sz="4" w:space="0" w:color="auto"/>
            </w:tcBorders>
          </w:tcPr>
          <w:p w14:paraId="3A898B38" w14:textId="39C92488" w:rsidR="00EC7E3D" w:rsidRPr="00E178D4" w:rsidRDefault="00EC7E3D" w:rsidP="00217B40"/>
        </w:tc>
      </w:tr>
      <w:tr w:rsidR="00C2224F" w:rsidRPr="00E178D4" w14:paraId="4B4FE4B0" w14:textId="77777777" w:rsidTr="00F84687">
        <w:tc>
          <w:tcPr>
            <w:tcW w:w="4077" w:type="dxa"/>
            <w:tcBorders>
              <w:top w:val="dashed" w:sz="4" w:space="0" w:color="auto"/>
            </w:tcBorders>
          </w:tcPr>
          <w:p w14:paraId="6A0AC77B" w14:textId="77777777" w:rsidR="00C2224F" w:rsidRPr="00554582" w:rsidRDefault="00C2224F" w:rsidP="00371B01">
            <w:pPr>
              <w:pStyle w:val="Default"/>
              <w:rPr>
                <w:rFonts w:asciiTheme="minorHAnsi" w:hAnsiTheme="minorHAnsi"/>
                <w:b/>
                <w:bCs/>
                <w:sz w:val="22"/>
                <w:szCs w:val="22"/>
              </w:rPr>
            </w:pPr>
          </w:p>
        </w:tc>
        <w:tc>
          <w:tcPr>
            <w:tcW w:w="5135" w:type="dxa"/>
            <w:tcBorders>
              <w:top w:val="dashed" w:sz="4" w:space="0" w:color="auto"/>
            </w:tcBorders>
          </w:tcPr>
          <w:p w14:paraId="1867CEF0" w14:textId="4075555F" w:rsidR="00C2224F" w:rsidRDefault="00F84687" w:rsidP="00C2224F">
            <w:r>
              <w:t>Exploiter le principe d’inertie</w:t>
            </w:r>
            <w:r w:rsidR="00C2224F" w:rsidRPr="00E178D4">
              <w:t xml:space="preserve"> </w:t>
            </w:r>
          </w:p>
          <w:p w14:paraId="3A93988B" w14:textId="6CA843E6" w:rsidR="00C2224F" w:rsidRDefault="00C2224F" w:rsidP="009272F4">
            <w:r>
              <w:t xml:space="preserve">Relier la variation entre deux instants voisins du vecteur vitesse d’un système modélisé par un point matériel à l’existence d’actions extérieures </w:t>
            </w:r>
          </w:p>
        </w:tc>
      </w:tr>
      <w:tr w:rsidR="00130A57" w:rsidRPr="00E178D4" w14:paraId="0DD541AA" w14:textId="77777777" w:rsidTr="005C6539">
        <w:tc>
          <w:tcPr>
            <w:tcW w:w="9212" w:type="dxa"/>
            <w:gridSpan w:val="2"/>
          </w:tcPr>
          <w:p w14:paraId="4E2F762B" w14:textId="364DE756" w:rsidR="00EC7E3D" w:rsidRPr="00E178D4" w:rsidRDefault="00130A57" w:rsidP="00E178D4">
            <w:pPr>
              <w:rPr>
                <w:color w:val="FF0000"/>
              </w:rPr>
            </w:pPr>
            <w:r w:rsidRPr="00E178D4">
              <w:rPr>
                <w:b/>
                <w:color w:val="FF0000"/>
                <w:u w:val="single"/>
              </w:rPr>
              <w:t>Conseil</w:t>
            </w:r>
            <w:r w:rsidR="00F84687">
              <w:rPr>
                <w:b/>
                <w:color w:val="FF0000"/>
                <w:u w:val="single"/>
              </w:rPr>
              <w:t>s</w:t>
            </w:r>
            <w:r w:rsidRPr="00E178D4">
              <w:rPr>
                <w:b/>
                <w:color w:val="FF0000"/>
                <w:u w:val="single"/>
              </w:rPr>
              <w:t> </w:t>
            </w:r>
            <w:r w:rsidRPr="00E178D4">
              <w:rPr>
                <w:color w:val="FF0000"/>
              </w:rPr>
              <w:t>:</w:t>
            </w:r>
            <w:r w:rsidR="006A3BCE" w:rsidRPr="00E178D4">
              <w:rPr>
                <w:color w:val="FF0000"/>
              </w:rPr>
              <w:t xml:space="preserve"> </w:t>
            </w:r>
            <w:r w:rsidR="00F84687">
              <w:rPr>
                <w:color w:val="FF0000"/>
              </w:rPr>
              <w:t>l</w:t>
            </w:r>
            <w:r w:rsidR="000F00E4">
              <w:rPr>
                <w:color w:val="FF0000"/>
              </w:rPr>
              <w:t xml:space="preserve">es situations envisagées s’appuient notamment sur des exemples d’équilibre et sur le mouvement de chute libre. Cette partie du programme se prête bien à l’exploitation de vidéos et à l’utilisation de logiciels de simulation. </w:t>
            </w:r>
          </w:p>
        </w:tc>
      </w:tr>
    </w:tbl>
    <w:p w14:paraId="41C0D92C" w14:textId="77777777" w:rsidR="009272F4" w:rsidRDefault="009272F4" w:rsidP="009272F4">
      <w:pPr>
        <w:pStyle w:val="Paragraphedeliste"/>
        <w:ind w:left="360"/>
        <w:rPr>
          <w:b/>
          <w:sz w:val="24"/>
        </w:rPr>
      </w:pPr>
    </w:p>
    <w:p w14:paraId="39A23E15" w14:textId="61582741" w:rsidR="000113A0" w:rsidRPr="00371B01" w:rsidRDefault="00EC7E3D" w:rsidP="00371B01">
      <w:pPr>
        <w:pStyle w:val="Paragraphedeliste"/>
        <w:numPr>
          <w:ilvl w:val="0"/>
          <w:numId w:val="1"/>
        </w:numPr>
        <w:rPr>
          <w:b/>
          <w:sz w:val="24"/>
        </w:rPr>
      </w:pPr>
      <w:r w:rsidRPr="00371B01">
        <w:rPr>
          <w:b/>
          <w:sz w:val="24"/>
        </w:rPr>
        <w:t>Ondes et signaux</w:t>
      </w:r>
    </w:p>
    <w:tbl>
      <w:tblPr>
        <w:tblStyle w:val="Grilledutableau"/>
        <w:tblW w:w="0" w:type="auto"/>
        <w:tblLook w:val="04A0" w:firstRow="1" w:lastRow="0" w:firstColumn="1" w:lastColumn="0" w:noHBand="0" w:noVBand="1"/>
      </w:tblPr>
      <w:tblGrid>
        <w:gridCol w:w="4077"/>
        <w:gridCol w:w="5135"/>
      </w:tblGrid>
      <w:tr w:rsidR="00130A57" w:rsidRPr="00E178D4" w14:paraId="3EC0B022" w14:textId="77777777" w:rsidTr="00F84687">
        <w:tc>
          <w:tcPr>
            <w:tcW w:w="4077" w:type="dxa"/>
          </w:tcPr>
          <w:p w14:paraId="2034791B" w14:textId="77777777" w:rsidR="00130A57" w:rsidRPr="00E178D4" w:rsidRDefault="00130A57" w:rsidP="005C6539">
            <w:pPr>
              <w:rPr>
                <w:b/>
              </w:rPr>
            </w:pPr>
            <w:r w:rsidRPr="00E178D4">
              <w:rPr>
                <w:b/>
              </w:rPr>
              <w:t>Attendus de fin de cycle</w:t>
            </w:r>
          </w:p>
        </w:tc>
        <w:tc>
          <w:tcPr>
            <w:tcW w:w="5135" w:type="dxa"/>
          </w:tcPr>
          <w:p w14:paraId="1816D39B" w14:textId="77777777" w:rsidR="00130A57" w:rsidRPr="00E178D4" w:rsidRDefault="00130A57" w:rsidP="005C6539">
            <w:r w:rsidRPr="00E178D4">
              <w:rPr>
                <w:b/>
              </w:rPr>
              <w:t>Capacités à travailler en priorité</w:t>
            </w:r>
          </w:p>
        </w:tc>
      </w:tr>
      <w:tr w:rsidR="00130A57" w:rsidRPr="00E178D4" w14:paraId="7F29F54D" w14:textId="77777777" w:rsidTr="00F84687">
        <w:trPr>
          <w:trHeight w:val="309"/>
        </w:trPr>
        <w:tc>
          <w:tcPr>
            <w:tcW w:w="4077" w:type="dxa"/>
            <w:tcBorders>
              <w:bottom w:val="dashed" w:sz="4" w:space="0" w:color="auto"/>
            </w:tcBorders>
          </w:tcPr>
          <w:p w14:paraId="45A68589" w14:textId="29D63D06" w:rsidR="00ED6C8F" w:rsidRPr="00E178D4" w:rsidRDefault="00554582" w:rsidP="00371B01">
            <w:pPr>
              <w:pStyle w:val="Default"/>
              <w:numPr>
                <w:ilvl w:val="0"/>
                <w:numId w:val="10"/>
              </w:numPr>
            </w:pPr>
            <w:r w:rsidRPr="00217B40">
              <w:rPr>
                <w:rFonts w:asciiTheme="minorHAnsi" w:hAnsiTheme="minorHAnsi"/>
                <w:b/>
                <w:bCs/>
                <w:sz w:val="22"/>
                <w:szCs w:val="22"/>
              </w:rPr>
              <w:t>Émission et perception d’un son</w:t>
            </w:r>
          </w:p>
        </w:tc>
        <w:tc>
          <w:tcPr>
            <w:tcW w:w="5135" w:type="dxa"/>
            <w:tcBorders>
              <w:bottom w:val="dashed" w:sz="4" w:space="0" w:color="auto"/>
            </w:tcBorders>
          </w:tcPr>
          <w:p w14:paraId="48123FE4" w14:textId="67C5DC9F" w:rsidR="00130A57" w:rsidRPr="00E178D4" w:rsidRDefault="00130A57" w:rsidP="009B2103">
            <w:pPr>
              <w:autoSpaceDE w:val="0"/>
              <w:autoSpaceDN w:val="0"/>
              <w:adjustRightInd w:val="0"/>
              <w:rPr>
                <w:rFonts w:cs="Arial"/>
                <w:color w:val="000000"/>
              </w:rPr>
            </w:pPr>
          </w:p>
        </w:tc>
      </w:tr>
      <w:tr w:rsidR="000F00E4" w:rsidRPr="00E178D4" w14:paraId="1F647D36" w14:textId="77777777" w:rsidTr="00F84687">
        <w:trPr>
          <w:trHeight w:val="1312"/>
        </w:trPr>
        <w:tc>
          <w:tcPr>
            <w:tcW w:w="4077" w:type="dxa"/>
            <w:tcBorders>
              <w:top w:val="dashed" w:sz="4" w:space="0" w:color="auto"/>
            </w:tcBorders>
          </w:tcPr>
          <w:p w14:paraId="1A8CE119" w14:textId="77777777" w:rsidR="000F00E4" w:rsidRPr="00217B40" w:rsidRDefault="000F00E4" w:rsidP="00371B01">
            <w:pPr>
              <w:pStyle w:val="Default"/>
              <w:ind w:left="360"/>
              <w:rPr>
                <w:rFonts w:asciiTheme="minorHAnsi" w:hAnsiTheme="minorHAnsi"/>
                <w:b/>
                <w:bCs/>
                <w:sz w:val="22"/>
                <w:szCs w:val="22"/>
              </w:rPr>
            </w:pPr>
          </w:p>
        </w:tc>
        <w:tc>
          <w:tcPr>
            <w:tcW w:w="5135" w:type="dxa"/>
            <w:tcBorders>
              <w:top w:val="dashed" w:sz="4" w:space="0" w:color="auto"/>
            </w:tcBorders>
          </w:tcPr>
          <w:p w14:paraId="11FDDA29" w14:textId="5E8C3C36" w:rsidR="000F00E4" w:rsidRDefault="000F00E4" w:rsidP="000F00E4">
            <w:r>
              <w:t>Relier l’origine d’un signal s</w:t>
            </w:r>
            <w:r w:rsidR="00F84687">
              <w:t>onore à la vibration d’un objet</w:t>
            </w:r>
            <w:r>
              <w:t xml:space="preserve"> </w:t>
            </w:r>
          </w:p>
          <w:p w14:paraId="37149F8B" w14:textId="19033F5B" w:rsidR="000F00E4" w:rsidRDefault="000F00E4" w:rsidP="00371B01">
            <w:r>
              <w:t xml:space="preserve">Déterminer la période et la fréquence d’un signal sonore à partir </w:t>
            </w:r>
            <w:r w:rsidR="00F84687">
              <w:t>de sa représentation temporelle</w:t>
            </w:r>
          </w:p>
          <w:p w14:paraId="5D83E8AD" w14:textId="52AFAB68" w:rsidR="000F00E4" w:rsidRDefault="000F00E4" w:rsidP="00371B01">
            <w:r>
              <w:t xml:space="preserve">Citer les domaines de fréquences des sons audibles, </w:t>
            </w:r>
            <w:r w:rsidR="00F84687">
              <w:t>des infrasons et des ultrasons</w:t>
            </w:r>
          </w:p>
          <w:p w14:paraId="29A44E81" w14:textId="7AF812E1" w:rsidR="000F00E4" w:rsidRDefault="000F00E4" w:rsidP="00371B01">
            <w:r>
              <w:t>Exploiter une échelle de niveau d’intensité sonore et citer les dangers i</w:t>
            </w:r>
            <w:r w:rsidR="009272F4">
              <w:t>nhérents à l’exposition sonore</w:t>
            </w:r>
          </w:p>
        </w:tc>
      </w:tr>
      <w:tr w:rsidR="000F00E4" w:rsidRPr="00E178D4" w14:paraId="3368F93D" w14:textId="77777777" w:rsidTr="005C6539">
        <w:tc>
          <w:tcPr>
            <w:tcW w:w="9212" w:type="dxa"/>
            <w:gridSpan w:val="2"/>
          </w:tcPr>
          <w:p w14:paraId="07B48542" w14:textId="1CF40EAF" w:rsidR="000F00E4" w:rsidRPr="00E178D4" w:rsidRDefault="000F00E4" w:rsidP="000F00E4">
            <w:r>
              <w:rPr>
                <w:b/>
                <w:color w:val="FF0000"/>
                <w:u w:val="single"/>
              </w:rPr>
              <w:t>Conseil</w:t>
            </w:r>
            <w:r w:rsidRPr="00E178D4">
              <w:rPr>
                <w:color w:val="FF0000"/>
              </w:rPr>
              <w:t xml:space="preserve"> : </w:t>
            </w:r>
            <w:r w:rsidR="00F84687">
              <w:rPr>
                <w:color w:val="FF0000"/>
              </w:rPr>
              <w:t>l</w:t>
            </w:r>
            <w:r w:rsidR="00A12A6B">
              <w:rPr>
                <w:color w:val="FF0000"/>
              </w:rPr>
              <w:t xml:space="preserve">es signaux sonores étudiés sont issus </w:t>
            </w:r>
            <w:r w:rsidR="009272F4">
              <w:rPr>
                <w:color w:val="FF0000"/>
              </w:rPr>
              <w:t>d’enregistrements authentiques</w:t>
            </w:r>
            <w:r w:rsidRPr="00E178D4">
              <w:rPr>
                <w:color w:val="FF0000"/>
              </w:rPr>
              <w:t xml:space="preserve"> </w:t>
            </w:r>
          </w:p>
        </w:tc>
      </w:tr>
      <w:tr w:rsidR="000F00E4" w:rsidRPr="00E178D4" w14:paraId="43BD340E" w14:textId="77777777" w:rsidTr="00F84687">
        <w:trPr>
          <w:trHeight w:val="308"/>
        </w:trPr>
        <w:tc>
          <w:tcPr>
            <w:tcW w:w="4077" w:type="dxa"/>
            <w:tcBorders>
              <w:bottom w:val="dashed" w:sz="4" w:space="0" w:color="auto"/>
            </w:tcBorders>
          </w:tcPr>
          <w:p w14:paraId="56F95B76" w14:textId="30327ADE" w:rsidR="000F00E4" w:rsidRPr="00371B01" w:rsidRDefault="000F00E4" w:rsidP="00371B01">
            <w:pPr>
              <w:pStyle w:val="Default"/>
              <w:numPr>
                <w:ilvl w:val="0"/>
                <w:numId w:val="10"/>
              </w:numPr>
              <w:rPr>
                <w:rFonts w:cs="Times New Roman"/>
              </w:rPr>
            </w:pPr>
            <w:r w:rsidRPr="00554582">
              <w:rPr>
                <w:rFonts w:asciiTheme="minorHAnsi" w:hAnsiTheme="minorHAnsi"/>
                <w:b/>
                <w:bCs/>
                <w:sz w:val="22"/>
                <w:szCs w:val="22"/>
              </w:rPr>
              <w:t>Vision et image</w:t>
            </w:r>
            <w:r w:rsidRPr="00E178D4">
              <w:rPr>
                <w:rFonts w:asciiTheme="minorHAnsi" w:hAnsiTheme="minorHAnsi"/>
                <w:b/>
                <w:bCs/>
                <w:sz w:val="22"/>
                <w:szCs w:val="22"/>
              </w:rPr>
              <w:t xml:space="preserve"> </w:t>
            </w:r>
          </w:p>
        </w:tc>
        <w:tc>
          <w:tcPr>
            <w:tcW w:w="5135" w:type="dxa"/>
            <w:tcBorders>
              <w:bottom w:val="dashed" w:sz="4" w:space="0" w:color="auto"/>
            </w:tcBorders>
          </w:tcPr>
          <w:p w14:paraId="37369349" w14:textId="77777777" w:rsidR="000F00E4" w:rsidRPr="00E178D4" w:rsidRDefault="000F00E4" w:rsidP="000F00E4"/>
        </w:tc>
      </w:tr>
      <w:tr w:rsidR="000F00E4" w:rsidRPr="00E178D4" w14:paraId="45217FBC" w14:textId="77777777" w:rsidTr="00F84687">
        <w:trPr>
          <w:trHeight w:val="553"/>
        </w:trPr>
        <w:tc>
          <w:tcPr>
            <w:tcW w:w="4077" w:type="dxa"/>
            <w:tcBorders>
              <w:top w:val="dashed" w:sz="4" w:space="0" w:color="auto"/>
              <w:bottom w:val="dashed" w:sz="4" w:space="0" w:color="auto"/>
            </w:tcBorders>
          </w:tcPr>
          <w:p w14:paraId="545C1E2C" w14:textId="77777777" w:rsidR="000F00E4" w:rsidRPr="00E178D4" w:rsidRDefault="000F00E4" w:rsidP="00371B01">
            <w:pPr>
              <w:rPr>
                <w:b/>
                <w:bCs/>
              </w:rPr>
            </w:pPr>
          </w:p>
        </w:tc>
        <w:tc>
          <w:tcPr>
            <w:tcW w:w="5135" w:type="dxa"/>
            <w:tcBorders>
              <w:top w:val="dashed" w:sz="4" w:space="0" w:color="auto"/>
              <w:bottom w:val="dashed" w:sz="4" w:space="0" w:color="auto"/>
            </w:tcBorders>
          </w:tcPr>
          <w:p w14:paraId="32E7C369" w14:textId="1E32DA6B" w:rsidR="00122608" w:rsidRPr="00371B01" w:rsidRDefault="00122608" w:rsidP="00122608">
            <w:pPr>
              <w:pStyle w:val="Default"/>
              <w:rPr>
                <w:rFonts w:asciiTheme="minorHAnsi" w:hAnsiTheme="minorHAnsi"/>
                <w:sz w:val="22"/>
                <w:szCs w:val="22"/>
              </w:rPr>
            </w:pPr>
            <w:r w:rsidRPr="00371B01">
              <w:rPr>
                <w:rFonts w:asciiTheme="minorHAnsi" w:hAnsiTheme="minorHAnsi"/>
                <w:sz w:val="22"/>
                <w:szCs w:val="22"/>
              </w:rPr>
              <w:t>Caractériser un rayonnement monochromatique par sa longueur d’</w:t>
            </w:r>
            <w:r w:rsidR="009272F4">
              <w:rPr>
                <w:rFonts w:asciiTheme="minorHAnsi" w:hAnsiTheme="minorHAnsi"/>
                <w:sz w:val="22"/>
                <w:szCs w:val="22"/>
              </w:rPr>
              <w:t>onde dans le vide ou dans l’air</w:t>
            </w:r>
            <w:r w:rsidRPr="00371B01">
              <w:rPr>
                <w:rFonts w:asciiTheme="minorHAnsi" w:hAnsiTheme="minorHAnsi"/>
                <w:sz w:val="22"/>
                <w:szCs w:val="22"/>
              </w:rPr>
              <w:t xml:space="preserve"> </w:t>
            </w:r>
          </w:p>
          <w:p w14:paraId="32DF0DD0" w14:textId="22BE5690" w:rsidR="000F00E4" w:rsidRPr="00371B01" w:rsidRDefault="000F00E4" w:rsidP="000F00E4">
            <w:pPr>
              <w:pStyle w:val="Default"/>
              <w:rPr>
                <w:rFonts w:asciiTheme="minorHAnsi" w:hAnsiTheme="minorHAnsi"/>
                <w:sz w:val="22"/>
                <w:szCs w:val="22"/>
              </w:rPr>
            </w:pPr>
            <w:r w:rsidRPr="00371B01">
              <w:rPr>
                <w:rFonts w:asciiTheme="minorHAnsi" w:hAnsiTheme="minorHAnsi"/>
                <w:sz w:val="22"/>
                <w:szCs w:val="22"/>
              </w:rPr>
              <w:t>Exploiter les lois de Snell-Descartes pou</w:t>
            </w:r>
            <w:r w:rsidR="009272F4">
              <w:rPr>
                <w:rFonts w:asciiTheme="minorHAnsi" w:hAnsiTheme="minorHAnsi"/>
                <w:sz w:val="22"/>
                <w:szCs w:val="22"/>
              </w:rPr>
              <w:t>r la réflexion et la réfraction</w:t>
            </w:r>
            <w:r w:rsidRPr="00371B01">
              <w:rPr>
                <w:rFonts w:asciiTheme="minorHAnsi" w:hAnsiTheme="minorHAnsi"/>
                <w:sz w:val="22"/>
                <w:szCs w:val="22"/>
              </w:rPr>
              <w:t xml:space="preserve"> </w:t>
            </w:r>
          </w:p>
          <w:p w14:paraId="194DBBD0" w14:textId="7B0B8E67" w:rsidR="00122608" w:rsidRPr="00371B01" w:rsidRDefault="00122608" w:rsidP="000F00E4">
            <w:pPr>
              <w:pStyle w:val="Default"/>
              <w:rPr>
                <w:rFonts w:asciiTheme="minorHAnsi" w:hAnsiTheme="minorHAnsi"/>
                <w:sz w:val="22"/>
                <w:szCs w:val="22"/>
              </w:rPr>
            </w:pPr>
            <w:r>
              <w:rPr>
                <w:rFonts w:asciiTheme="minorHAnsi" w:hAnsiTheme="minorHAnsi"/>
                <w:sz w:val="22"/>
                <w:szCs w:val="22"/>
              </w:rPr>
              <w:t>E</w:t>
            </w:r>
            <w:r w:rsidRPr="00122608">
              <w:rPr>
                <w:rFonts w:asciiTheme="minorHAnsi" w:hAnsiTheme="minorHAnsi"/>
                <w:sz w:val="22"/>
                <w:szCs w:val="22"/>
              </w:rPr>
              <w:t>xploiter des spectres d’émission obtenus à l’aide d’un système dispersif</w:t>
            </w:r>
          </w:p>
          <w:p w14:paraId="1AAB9FE3" w14:textId="40FE4BFA" w:rsidR="000F00E4" w:rsidRPr="00E178D4" w:rsidRDefault="00B04B91" w:rsidP="00371B01">
            <w:pPr>
              <w:pStyle w:val="Default"/>
            </w:pPr>
            <w:r>
              <w:rPr>
                <w:rFonts w:asciiTheme="minorHAnsi" w:hAnsiTheme="minorHAnsi"/>
                <w:sz w:val="22"/>
                <w:szCs w:val="22"/>
              </w:rPr>
              <w:t>D</w:t>
            </w:r>
            <w:r w:rsidR="000F00E4" w:rsidRPr="00371B01">
              <w:rPr>
                <w:rFonts w:asciiTheme="minorHAnsi" w:hAnsiTheme="minorHAnsi"/>
                <w:sz w:val="22"/>
                <w:szCs w:val="22"/>
              </w:rPr>
              <w:t>éterminer graphiquement la position, la taille et le sens de l’image réelle d’un objet plan réel donnée par</w:t>
            </w:r>
            <w:r w:rsidR="009272F4">
              <w:rPr>
                <w:rFonts w:asciiTheme="minorHAnsi" w:hAnsiTheme="minorHAnsi"/>
                <w:sz w:val="22"/>
                <w:szCs w:val="22"/>
              </w:rPr>
              <w:t xml:space="preserve"> une lentille mince convergente</w:t>
            </w:r>
          </w:p>
        </w:tc>
      </w:tr>
      <w:tr w:rsidR="000F00E4" w:rsidRPr="00E178D4" w14:paraId="0EA73FB1" w14:textId="77777777" w:rsidTr="00371B01">
        <w:trPr>
          <w:trHeight w:val="545"/>
        </w:trPr>
        <w:tc>
          <w:tcPr>
            <w:tcW w:w="9212" w:type="dxa"/>
            <w:gridSpan w:val="2"/>
            <w:tcBorders>
              <w:top w:val="dashed" w:sz="4" w:space="0" w:color="auto"/>
            </w:tcBorders>
          </w:tcPr>
          <w:p w14:paraId="08DFD97D" w14:textId="5D3EF4BA" w:rsidR="000F00E4" w:rsidRPr="00E9118B" w:rsidRDefault="009272F4" w:rsidP="009272F4">
            <w:pPr>
              <w:autoSpaceDE w:val="0"/>
              <w:autoSpaceDN w:val="0"/>
              <w:adjustRightInd w:val="0"/>
              <w:rPr>
                <w:rFonts w:cs="Arial"/>
                <w:color w:val="000000"/>
              </w:rPr>
            </w:pPr>
            <w:r>
              <w:rPr>
                <w:b/>
                <w:color w:val="FF0000"/>
                <w:u w:val="single"/>
              </w:rPr>
              <w:t>Conseil</w:t>
            </w:r>
            <w:r w:rsidR="000F00E4" w:rsidRPr="00E9118B">
              <w:rPr>
                <w:color w:val="FF0000"/>
              </w:rPr>
              <w:t xml:space="preserve"> : </w:t>
            </w:r>
            <w:r w:rsidR="00122608">
              <w:rPr>
                <w:color w:val="FF0000"/>
              </w:rPr>
              <w:t>les spectres lumineux peuvent être exploités à partir de documents ou à l’aide de logiciels spécialisés</w:t>
            </w:r>
            <w:r>
              <w:rPr>
                <w:color w:val="FF0000"/>
              </w:rPr>
              <w:t>. L’étude des lentilles minces est approfondie en enseignement de spécialité de première générale et dans les séries</w:t>
            </w:r>
            <w:r w:rsidR="00AA3AA4">
              <w:rPr>
                <w:color w:val="FF0000"/>
              </w:rPr>
              <w:t xml:space="preserve"> STL et ST2S.</w:t>
            </w:r>
            <w:r>
              <w:rPr>
                <w:color w:val="FF0000"/>
              </w:rPr>
              <w:t xml:space="preserve">  </w:t>
            </w:r>
            <w:r w:rsidR="00B04B91">
              <w:rPr>
                <w:color w:val="FF0000"/>
              </w:rPr>
              <w:t xml:space="preserve"> </w:t>
            </w:r>
          </w:p>
        </w:tc>
      </w:tr>
      <w:tr w:rsidR="000F00E4" w:rsidRPr="00E178D4" w14:paraId="2757F1F8" w14:textId="77777777" w:rsidTr="009272F4">
        <w:trPr>
          <w:trHeight w:val="291"/>
        </w:trPr>
        <w:tc>
          <w:tcPr>
            <w:tcW w:w="4077" w:type="dxa"/>
            <w:tcBorders>
              <w:top w:val="dashed" w:sz="4" w:space="0" w:color="auto"/>
              <w:bottom w:val="dashed" w:sz="4" w:space="0" w:color="auto"/>
            </w:tcBorders>
          </w:tcPr>
          <w:p w14:paraId="68D9CF37" w14:textId="3DDDBD27" w:rsidR="000F00E4" w:rsidRPr="00217B40" w:rsidRDefault="000F00E4" w:rsidP="00371B01">
            <w:pPr>
              <w:pStyle w:val="Default"/>
              <w:numPr>
                <w:ilvl w:val="0"/>
                <w:numId w:val="10"/>
              </w:numPr>
              <w:rPr>
                <w:rFonts w:cs="Times New Roman"/>
              </w:rPr>
            </w:pPr>
            <w:r w:rsidRPr="00371B01">
              <w:rPr>
                <w:rFonts w:asciiTheme="minorHAnsi" w:hAnsiTheme="minorHAnsi"/>
                <w:b/>
                <w:bCs/>
                <w:sz w:val="22"/>
                <w:szCs w:val="22"/>
              </w:rPr>
              <w:t>Signaux et capteurs</w:t>
            </w:r>
          </w:p>
        </w:tc>
        <w:tc>
          <w:tcPr>
            <w:tcW w:w="5135" w:type="dxa"/>
            <w:tcBorders>
              <w:top w:val="dashed" w:sz="4" w:space="0" w:color="auto"/>
              <w:bottom w:val="dashed" w:sz="4" w:space="0" w:color="auto"/>
            </w:tcBorders>
          </w:tcPr>
          <w:p w14:paraId="06EF59E2" w14:textId="77777777" w:rsidR="000F00E4" w:rsidRPr="00E9118B" w:rsidRDefault="000F00E4" w:rsidP="00371B01">
            <w:pPr>
              <w:pStyle w:val="Default"/>
            </w:pPr>
          </w:p>
        </w:tc>
      </w:tr>
      <w:tr w:rsidR="00B04B91" w:rsidRPr="00E178D4" w14:paraId="485BC806" w14:textId="77777777" w:rsidTr="009272F4">
        <w:trPr>
          <w:trHeight w:val="274"/>
        </w:trPr>
        <w:tc>
          <w:tcPr>
            <w:tcW w:w="4077" w:type="dxa"/>
            <w:tcBorders>
              <w:top w:val="dashed" w:sz="4" w:space="0" w:color="auto"/>
            </w:tcBorders>
          </w:tcPr>
          <w:p w14:paraId="7FCE24B3" w14:textId="77777777" w:rsidR="00B04B91" w:rsidRPr="00371B01" w:rsidRDefault="00B04B91" w:rsidP="00371B01">
            <w:pPr>
              <w:pStyle w:val="Default"/>
              <w:rPr>
                <w:rFonts w:asciiTheme="minorHAnsi" w:hAnsiTheme="minorHAnsi"/>
                <w:b/>
                <w:bCs/>
                <w:sz w:val="22"/>
                <w:szCs w:val="22"/>
              </w:rPr>
            </w:pPr>
          </w:p>
        </w:tc>
        <w:tc>
          <w:tcPr>
            <w:tcW w:w="5135" w:type="dxa"/>
            <w:tcBorders>
              <w:top w:val="dashed" w:sz="4" w:space="0" w:color="auto"/>
            </w:tcBorders>
          </w:tcPr>
          <w:p w14:paraId="724F2AF7" w14:textId="1976FFD5" w:rsidR="00E574D0" w:rsidRDefault="009272F4" w:rsidP="009272F4">
            <w:pPr>
              <w:pStyle w:val="Default"/>
              <w:rPr>
                <w:rFonts w:asciiTheme="minorHAnsi" w:hAnsiTheme="minorHAnsi"/>
                <w:sz w:val="22"/>
                <w:szCs w:val="22"/>
              </w:rPr>
            </w:pPr>
            <w:r w:rsidRPr="009272F4">
              <w:rPr>
                <w:rFonts w:asciiTheme="minorHAnsi" w:hAnsiTheme="minorHAnsi"/>
                <w:sz w:val="22"/>
                <w:szCs w:val="22"/>
              </w:rPr>
              <w:t>Exploiter la caractér</w:t>
            </w:r>
            <w:r>
              <w:rPr>
                <w:rFonts w:asciiTheme="minorHAnsi" w:hAnsiTheme="minorHAnsi"/>
                <w:sz w:val="22"/>
                <w:szCs w:val="22"/>
              </w:rPr>
              <w:t xml:space="preserve">istique </w:t>
            </w:r>
            <w:r w:rsidR="00E574D0">
              <w:rPr>
                <w:rFonts w:asciiTheme="minorHAnsi" w:hAnsiTheme="minorHAnsi"/>
                <w:sz w:val="22"/>
                <w:szCs w:val="22"/>
              </w:rPr>
              <w:t>d’un capteur</w:t>
            </w:r>
          </w:p>
          <w:p w14:paraId="2262EE46" w14:textId="71876D1A" w:rsidR="00B04B91" w:rsidRPr="009272F4" w:rsidRDefault="009272F4" w:rsidP="009272F4">
            <w:pPr>
              <w:pStyle w:val="Default"/>
              <w:rPr>
                <w:rFonts w:asciiTheme="minorHAnsi" w:hAnsiTheme="minorHAnsi"/>
              </w:rPr>
            </w:pPr>
            <w:r>
              <w:rPr>
                <w:rFonts w:asciiTheme="minorHAnsi" w:hAnsiTheme="minorHAnsi"/>
                <w:sz w:val="22"/>
                <w:szCs w:val="22"/>
              </w:rPr>
              <w:t>Utiliser la loi d’Ohm</w:t>
            </w:r>
          </w:p>
        </w:tc>
      </w:tr>
      <w:tr w:rsidR="000F00E4" w:rsidRPr="00E178D4" w14:paraId="5060E3AA" w14:textId="77777777" w:rsidTr="005C6539">
        <w:tc>
          <w:tcPr>
            <w:tcW w:w="9212" w:type="dxa"/>
            <w:gridSpan w:val="2"/>
          </w:tcPr>
          <w:p w14:paraId="4E027C21" w14:textId="623049AD" w:rsidR="000F00E4" w:rsidRPr="00371B01" w:rsidRDefault="000F00E4" w:rsidP="000F00E4">
            <w:pPr>
              <w:rPr>
                <w:color w:val="FF0000"/>
              </w:rPr>
            </w:pPr>
            <w:r w:rsidRPr="00E178D4">
              <w:rPr>
                <w:b/>
                <w:color w:val="FF0000"/>
                <w:u w:val="single"/>
              </w:rPr>
              <w:t>Conseils</w:t>
            </w:r>
            <w:r w:rsidRPr="00E9118B">
              <w:rPr>
                <w:color w:val="FF0000"/>
              </w:rPr>
              <w:t xml:space="preserve"> : </w:t>
            </w:r>
            <w:r w:rsidR="009272F4">
              <w:rPr>
                <w:color w:val="FF0000"/>
              </w:rPr>
              <w:t>l</w:t>
            </w:r>
            <w:r>
              <w:rPr>
                <w:color w:val="FF0000"/>
              </w:rPr>
              <w:t xml:space="preserve">a mise en contexte des notions est essentielle. </w:t>
            </w:r>
            <w:r w:rsidR="00EB6D88">
              <w:rPr>
                <w:color w:val="FF0000"/>
              </w:rPr>
              <w:t xml:space="preserve">Cette partie du programme se prête bien à l’emploi de logiciels de simulation. </w:t>
            </w:r>
          </w:p>
        </w:tc>
      </w:tr>
    </w:tbl>
    <w:p w14:paraId="300ADD41" w14:textId="77777777" w:rsidR="000113A0" w:rsidRPr="00E178D4" w:rsidRDefault="000113A0" w:rsidP="009272F4"/>
    <w:sectPr w:rsidR="000113A0" w:rsidRPr="00E178D4" w:rsidSect="00AA3AA4">
      <w:footerReference w:type="default" r:id="rId8"/>
      <w:pgSz w:w="11906" w:h="16838"/>
      <w:pgMar w:top="1134" w:right="1133"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492C7" w16cid:durableId="224EDA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C9E8" w14:textId="77777777" w:rsidR="00251DBE" w:rsidRDefault="00251DBE" w:rsidP="00ED6C8F">
      <w:pPr>
        <w:spacing w:after="0" w:line="240" w:lineRule="auto"/>
      </w:pPr>
      <w:r>
        <w:separator/>
      </w:r>
    </w:p>
  </w:endnote>
  <w:endnote w:type="continuationSeparator" w:id="0">
    <w:p w14:paraId="61F6846F" w14:textId="77777777" w:rsidR="00251DBE" w:rsidRDefault="00251DBE" w:rsidP="00ED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52707"/>
      <w:docPartObj>
        <w:docPartGallery w:val="Page Numbers (Bottom of Page)"/>
        <w:docPartUnique/>
      </w:docPartObj>
    </w:sdtPr>
    <w:sdtEndPr/>
    <w:sdtContent>
      <w:p w14:paraId="6D7FF933" w14:textId="1A14BD03" w:rsidR="009272F4" w:rsidRDefault="009272F4">
        <w:pPr>
          <w:pStyle w:val="Pieddepage"/>
          <w:jc w:val="center"/>
        </w:pPr>
        <w:r>
          <w:fldChar w:fldCharType="begin"/>
        </w:r>
        <w:r>
          <w:instrText>PAGE   \* MERGEFORMAT</w:instrText>
        </w:r>
        <w:r>
          <w:fldChar w:fldCharType="separate"/>
        </w:r>
        <w:r w:rsidR="004F0BFF">
          <w:rPr>
            <w:noProof/>
          </w:rPr>
          <w:t>1</w:t>
        </w:r>
        <w:r>
          <w:fldChar w:fldCharType="end"/>
        </w:r>
      </w:p>
    </w:sdtContent>
  </w:sdt>
  <w:p w14:paraId="78290AAB" w14:textId="77777777" w:rsidR="009272F4" w:rsidRDefault="009272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EC63" w14:textId="77777777" w:rsidR="00251DBE" w:rsidRDefault="00251DBE" w:rsidP="00ED6C8F">
      <w:pPr>
        <w:spacing w:after="0" w:line="240" w:lineRule="auto"/>
      </w:pPr>
      <w:r>
        <w:separator/>
      </w:r>
    </w:p>
  </w:footnote>
  <w:footnote w:type="continuationSeparator" w:id="0">
    <w:p w14:paraId="27CEB902" w14:textId="77777777" w:rsidR="00251DBE" w:rsidRDefault="00251DBE" w:rsidP="00ED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797"/>
    <w:multiLevelType w:val="hybridMultilevel"/>
    <w:tmpl w:val="94D8BC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DB374F"/>
    <w:multiLevelType w:val="hybridMultilevel"/>
    <w:tmpl w:val="827EAECA"/>
    <w:lvl w:ilvl="0" w:tplc="0F188E20">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9901D1B"/>
    <w:multiLevelType w:val="hybridMultilevel"/>
    <w:tmpl w:val="67581D26"/>
    <w:lvl w:ilvl="0" w:tplc="FA56720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A24163"/>
    <w:multiLevelType w:val="hybridMultilevel"/>
    <w:tmpl w:val="23306F4E"/>
    <w:lvl w:ilvl="0" w:tplc="7E920572">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FD36152"/>
    <w:multiLevelType w:val="hybridMultilevel"/>
    <w:tmpl w:val="FB3E0258"/>
    <w:lvl w:ilvl="0" w:tplc="3130696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B856EF"/>
    <w:multiLevelType w:val="hybridMultilevel"/>
    <w:tmpl w:val="A6F20D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D2010E0"/>
    <w:multiLevelType w:val="hybridMultilevel"/>
    <w:tmpl w:val="E6969CD4"/>
    <w:lvl w:ilvl="0" w:tplc="17129622">
      <w:start w:val="1"/>
      <w:numFmt w:val="upperLetter"/>
      <w:lvlText w:val="%1)"/>
      <w:lvlJc w:val="left"/>
      <w:pPr>
        <w:ind w:left="360" w:hanging="360"/>
      </w:pPr>
      <w:rPr>
        <w:rFonts w:ascii="Arial" w:hAnsi="Arial" w:cs="Arial"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E96367"/>
    <w:multiLevelType w:val="hybridMultilevel"/>
    <w:tmpl w:val="6058A724"/>
    <w:lvl w:ilvl="0" w:tplc="7D8A7D3C">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3E175D0"/>
    <w:multiLevelType w:val="hybridMultilevel"/>
    <w:tmpl w:val="979E22C6"/>
    <w:lvl w:ilvl="0" w:tplc="14CC5AB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8573193"/>
    <w:multiLevelType w:val="hybridMultilevel"/>
    <w:tmpl w:val="0C1E2A0E"/>
    <w:lvl w:ilvl="0" w:tplc="7B9EC57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8105519"/>
    <w:multiLevelType w:val="hybridMultilevel"/>
    <w:tmpl w:val="D1CAE2DC"/>
    <w:lvl w:ilvl="0" w:tplc="731ED108">
      <w:start w:val="1"/>
      <w:numFmt w:val="decimal"/>
      <w:lvlText w:val="%1."/>
      <w:lvlJc w:val="left"/>
      <w:pPr>
        <w:ind w:left="360" w:hanging="360"/>
      </w:pPr>
      <w:rPr>
        <w:rFont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0"/>
  </w:num>
  <w:num w:numId="4">
    <w:abstractNumId w:val="8"/>
  </w:num>
  <w:num w:numId="5">
    <w:abstractNumId w:val="9"/>
  </w:num>
  <w:num w:numId="6">
    <w:abstractNumId w:val="4"/>
  </w:num>
  <w:num w:numId="7">
    <w:abstractNumId w:val="6"/>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0"/>
    <w:rsid w:val="00010A5B"/>
    <w:rsid w:val="000113A0"/>
    <w:rsid w:val="00016D7D"/>
    <w:rsid w:val="00017564"/>
    <w:rsid w:val="0003317A"/>
    <w:rsid w:val="00041BB8"/>
    <w:rsid w:val="000723ED"/>
    <w:rsid w:val="00083338"/>
    <w:rsid w:val="00094B8C"/>
    <w:rsid w:val="000D640E"/>
    <w:rsid w:val="000F00E4"/>
    <w:rsid w:val="00122608"/>
    <w:rsid w:val="00126168"/>
    <w:rsid w:val="00130A57"/>
    <w:rsid w:val="00136476"/>
    <w:rsid w:val="00187D3D"/>
    <w:rsid w:val="001E3F33"/>
    <w:rsid w:val="00217B40"/>
    <w:rsid w:val="002345B7"/>
    <w:rsid w:val="00251DBE"/>
    <w:rsid w:val="00280755"/>
    <w:rsid w:val="00292BF5"/>
    <w:rsid w:val="002A22AD"/>
    <w:rsid w:val="002C3A2C"/>
    <w:rsid w:val="00306282"/>
    <w:rsid w:val="00323022"/>
    <w:rsid w:val="0034057E"/>
    <w:rsid w:val="003564C3"/>
    <w:rsid w:val="00371B01"/>
    <w:rsid w:val="003D4CD4"/>
    <w:rsid w:val="003D696A"/>
    <w:rsid w:val="004024CF"/>
    <w:rsid w:val="00433F0A"/>
    <w:rsid w:val="0046413D"/>
    <w:rsid w:val="0048678F"/>
    <w:rsid w:val="004C0B9A"/>
    <w:rsid w:val="004D63FD"/>
    <w:rsid w:val="004F0BFF"/>
    <w:rsid w:val="004F5BA4"/>
    <w:rsid w:val="00523CB9"/>
    <w:rsid w:val="00554582"/>
    <w:rsid w:val="00582BF5"/>
    <w:rsid w:val="005C5F52"/>
    <w:rsid w:val="005C6539"/>
    <w:rsid w:val="00614083"/>
    <w:rsid w:val="006158C4"/>
    <w:rsid w:val="00633795"/>
    <w:rsid w:val="006A2979"/>
    <w:rsid w:val="006A3BCE"/>
    <w:rsid w:val="006E442E"/>
    <w:rsid w:val="00702D1C"/>
    <w:rsid w:val="00705974"/>
    <w:rsid w:val="007131A5"/>
    <w:rsid w:val="00732520"/>
    <w:rsid w:val="007A10D3"/>
    <w:rsid w:val="007A1A01"/>
    <w:rsid w:val="007E14C7"/>
    <w:rsid w:val="007E4B4E"/>
    <w:rsid w:val="007F1757"/>
    <w:rsid w:val="00801936"/>
    <w:rsid w:val="00846CB3"/>
    <w:rsid w:val="008C3973"/>
    <w:rsid w:val="00906C25"/>
    <w:rsid w:val="009217B9"/>
    <w:rsid w:val="009272F4"/>
    <w:rsid w:val="009452E3"/>
    <w:rsid w:val="009664A2"/>
    <w:rsid w:val="0098022F"/>
    <w:rsid w:val="009B007D"/>
    <w:rsid w:val="009B081C"/>
    <w:rsid w:val="009B2103"/>
    <w:rsid w:val="009B4083"/>
    <w:rsid w:val="009C1CD0"/>
    <w:rsid w:val="009D0537"/>
    <w:rsid w:val="00A021F4"/>
    <w:rsid w:val="00A06065"/>
    <w:rsid w:val="00A12A6B"/>
    <w:rsid w:val="00A42BA8"/>
    <w:rsid w:val="00A6069E"/>
    <w:rsid w:val="00A76C17"/>
    <w:rsid w:val="00A814D6"/>
    <w:rsid w:val="00AA0D12"/>
    <w:rsid w:val="00AA3AA4"/>
    <w:rsid w:val="00AE2142"/>
    <w:rsid w:val="00B04B91"/>
    <w:rsid w:val="00B53EFA"/>
    <w:rsid w:val="00B615AB"/>
    <w:rsid w:val="00B64B8D"/>
    <w:rsid w:val="00BB3DC2"/>
    <w:rsid w:val="00BD46DD"/>
    <w:rsid w:val="00BD6008"/>
    <w:rsid w:val="00BE2EFD"/>
    <w:rsid w:val="00C14CFF"/>
    <w:rsid w:val="00C2224F"/>
    <w:rsid w:val="00C22DE5"/>
    <w:rsid w:val="00C35364"/>
    <w:rsid w:val="00C473E6"/>
    <w:rsid w:val="00C56636"/>
    <w:rsid w:val="00C7525F"/>
    <w:rsid w:val="00CC7DFC"/>
    <w:rsid w:val="00CD37FC"/>
    <w:rsid w:val="00CE71AE"/>
    <w:rsid w:val="00D42F54"/>
    <w:rsid w:val="00D454D4"/>
    <w:rsid w:val="00D519CB"/>
    <w:rsid w:val="00D964D0"/>
    <w:rsid w:val="00E10CF9"/>
    <w:rsid w:val="00E178D4"/>
    <w:rsid w:val="00E24F84"/>
    <w:rsid w:val="00E3594B"/>
    <w:rsid w:val="00E574D0"/>
    <w:rsid w:val="00E824FC"/>
    <w:rsid w:val="00E9118B"/>
    <w:rsid w:val="00E97A78"/>
    <w:rsid w:val="00EA1B28"/>
    <w:rsid w:val="00EB6D88"/>
    <w:rsid w:val="00EC2DD5"/>
    <w:rsid w:val="00EC7E3D"/>
    <w:rsid w:val="00ED6C8F"/>
    <w:rsid w:val="00EF73FE"/>
    <w:rsid w:val="00F11D51"/>
    <w:rsid w:val="00F12249"/>
    <w:rsid w:val="00F30ABD"/>
    <w:rsid w:val="00F74591"/>
    <w:rsid w:val="00F80B2E"/>
    <w:rsid w:val="00F84687"/>
    <w:rsid w:val="00FA1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90C3"/>
  <w15:docId w15:val="{9F7A7F54-BB20-4842-9E9F-6F10FDF0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A57"/>
    <w:pPr>
      <w:ind w:left="720"/>
      <w:contextualSpacing/>
    </w:pPr>
  </w:style>
  <w:style w:type="paragraph" w:styleId="Notedebasdepage">
    <w:name w:val="footnote text"/>
    <w:basedOn w:val="Normal"/>
    <w:link w:val="NotedebasdepageCar"/>
    <w:uiPriority w:val="99"/>
    <w:semiHidden/>
    <w:unhideWhenUsed/>
    <w:rsid w:val="00ED6C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C8F"/>
    <w:rPr>
      <w:sz w:val="20"/>
      <w:szCs w:val="20"/>
    </w:rPr>
  </w:style>
  <w:style w:type="character" w:styleId="Appelnotedebasdep">
    <w:name w:val="footnote reference"/>
    <w:basedOn w:val="Policepardfaut"/>
    <w:uiPriority w:val="99"/>
    <w:semiHidden/>
    <w:unhideWhenUsed/>
    <w:rsid w:val="00ED6C8F"/>
    <w:rPr>
      <w:vertAlign w:val="superscript"/>
    </w:rPr>
  </w:style>
  <w:style w:type="character" w:styleId="Lienhypertexte">
    <w:name w:val="Hyperlink"/>
    <w:basedOn w:val="Policepardfaut"/>
    <w:uiPriority w:val="99"/>
    <w:unhideWhenUsed/>
    <w:rsid w:val="00ED6C8F"/>
    <w:rPr>
      <w:color w:val="0000FF" w:themeColor="hyperlink"/>
      <w:u w:val="single"/>
    </w:rPr>
  </w:style>
  <w:style w:type="paragraph" w:customStyle="1" w:styleId="Default">
    <w:name w:val="Default"/>
    <w:rsid w:val="000D640E"/>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C56636"/>
    <w:rPr>
      <w:sz w:val="16"/>
      <w:szCs w:val="16"/>
    </w:rPr>
  </w:style>
  <w:style w:type="paragraph" w:styleId="Commentaire">
    <w:name w:val="annotation text"/>
    <w:basedOn w:val="Normal"/>
    <w:link w:val="CommentaireCar"/>
    <w:uiPriority w:val="99"/>
    <w:semiHidden/>
    <w:unhideWhenUsed/>
    <w:rsid w:val="00C56636"/>
    <w:pPr>
      <w:spacing w:line="240" w:lineRule="auto"/>
    </w:pPr>
    <w:rPr>
      <w:sz w:val="20"/>
      <w:szCs w:val="20"/>
    </w:rPr>
  </w:style>
  <w:style w:type="character" w:customStyle="1" w:styleId="CommentaireCar">
    <w:name w:val="Commentaire Car"/>
    <w:basedOn w:val="Policepardfaut"/>
    <w:link w:val="Commentaire"/>
    <w:uiPriority w:val="99"/>
    <w:semiHidden/>
    <w:rsid w:val="00C56636"/>
    <w:rPr>
      <w:sz w:val="20"/>
      <w:szCs w:val="20"/>
    </w:rPr>
  </w:style>
  <w:style w:type="paragraph" w:styleId="Objetducommentaire">
    <w:name w:val="annotation subject"/>
    <w:basedOn w:val="Commentaire"/>
    <w:next w:val="Commentaire"/>
    <w:link w:val="ObjetducommentaireCar"/>
    <w:uiPriority w:val="99"/>
    <w:semiHidden/>
    <w:unhideWhenUsed/>
    <w:rsid w:val="00C56636"/>
    <w:rPr>
      <w:b/>
      <w:bCs/>
    </w:rPr>
  </w:style>
  <w:style w:type="character" w:customStyle="1" w:styleId="ObjetducommentaireCar">
    <w:name w:val="Objet du commentaire Car"/>
    <w:basedOn w:val="CommentaireCar"/>
    <w:link w:val="Objetducommentaire"/>
    <w:uiPriority w:val="99"/>
    <w:semiHidden/>
    <w:rsid w:val="00C56636"/>
    <w:rPr>
      <w:b/>
      <w:bCs/>
      <w:sz w:val="20"/>
      <w:szCs w:val="20"/>
    </w:rPr>
  </w:style>
  <w:style w:type="paragraph" w:styleId="Textedebulles">
    <w:name w:val="Balloon Text"/>
    <w:basedOn w:val="Normal"/>
    <w:link w:val="TextedebullesCar"/>
    <w:uiPriority w:val="99"/>
    <w:semiHidden/>
    <w:unhideWhenUsed/>
    <w:rsid w:val="00C566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636"/>
    <w:rPr>
      <w:rFonts w:ascii="Tahoma" w:hAnsi="Tahoma" w:cs="Tahoma"/>
      <w:sz w:val="16"/>
      <w:szCs w:val="16"/>
    </w:rPr>
  </w:style>
  <w:style w:type="paragraph" w:styleId="En-tte">
    <w:name w:val="header"/>
    <w:basedOn w:val="Normal"/>
    <w:link w:val="En-tteCar"/>
    <w:uiPriority w:val="99"/>
    <w:unhideWhenUsed/>
    <w:rsid w:val="009272F4"/>
    <w:pPr>
      <w:tabs>
        <w:tab w:val="center" w:pos="4536"/>
        <w:tab w:val="right" w:pos="9072"/>
      </w:tabs>
      <w:spacing w:after="0" w:line="240" w:lineRule="auto"/>
    </w:pPr>
  </w:style>
  <w:style w:type="character" w:customStyle="1" w:styleId="En-tteCar">
    <w:name w:val="En-tête Car"/>
    <w:basedOn w:val="Policepardfaut"/>
    <w:link w:val="En-tte"/>
    <w:uiPriority w:val="99"/>
    <w:rsid w:val="009272F4"/>
  </w:style>
  <w:style w:type="paragraph" w:styleId="Pieddepage">
    <w:name w:val="footer"/>
    <w:basedOn w:val="Normal"/>
    <w:link w:val="PieddepageCar"/>
    <w:uiPriority w:val="99"/>
    <w:unhideWhenUsed/>
    <w:rsid w:val="009272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9FE2-D07A-498D-B94A-3F62B43D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1227</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MBMauhourat</dc:creator>
  <cp:lastModifiedBy>jacques.royer@ac-nantes.fr</cp:lastModifiedBy>
  <cp:revision>11</cp:revision>
  <dcterms:created xsi:type="dcterms:W3CDTF">2020-04-27T09:38:00Z</dcterms:created>
  <dcterms:modified xsi:type="dcterms:W3CDTF">2020-05-18T07:24:00Z</dcterms:modified>
</cp:coreProperties>
</file>