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49F" w:rsidRDefault="004C4123" w:rsidP="004C4123">
      <w:pPr>
        <w:jc w:val="center"/>
        <w:rPr>
          <w:sz w:val="28"/>
          <w:szCs w:val="28"/>
        </w:rPr>
      </w:pPr>
      <w:r w:rsidRPr="004C4123">
        <w:rPr>
          <w:sz w:val="28"/>
          <w:szCs w:val="28"/>
        </w:rPr>
        <w:t xml:space="preserve">Le camp de </w:t>
      </w:r>
      <w:proofErr w:type="spellStart"/>
      <w:r w:rsidRPr="004C4123">
        <w:rPr>
          <w:sz w:val="28"/>
          <w:szCs w:val="28"/>
        </w:rPr>
        <w:t>Coudrecieux</w:t>
      </w:r>
      <w:proofErr w:type="spellEnd"/>
    </w:p>
    <w:p w:rsidR="004C4123" w:rsidRDefault="004C4123" w:rsidP="004C4123">
      <w:pPr>
        <w:jc w:val="center"/>
        <w:rPr>
          <w:sz w:val="28"/>
          <w:szCs w:val="28"/>
        </w:rPr>
      </w:pPr>
      <w:r>
        <w:rPr>
          <w:sz w:val="28"/>
          <w:szCs w:val="28"/>
        </w:rPr>
        <w:t>Camp d’internement pour tsiganes et nomades</w:t>
      </w:r>
    </w:p>
    <w:p w:rsidR="004C4123" w:rsidRDefault="00323C22" w:rsidP="00323C22">
      <w:pPr>
        <w:jc w:val="center"/>
      </w:pPr>
      <w:r>
        <w:rPr>
          <w:noProof/>
          <w:lang w:eastAsia="fr-FR"/>
        </w:rPr>
        <w:drawing>
          <wp:inline distT="0" distB="0" distL="0" distR="0" wp14:anchorId="7D055DBD" wp14:editId="51EA1737">
            <wp:extent cx="933450" cy="334682"/>
            <wp:effectExtent l="0" t="0" r="0" b="825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00847" cy="358847"/>
                    </a:xfrm>
                    <a:prstGeom prst="rect">
                      <a:avLst/>
                    </a:prstGeom>
                  </pic:spPr>
                </pic:pic>
              </a:graphicData>
            </a:graphic>
          </wp:inline>
        </w:drawing>
      </w:r>
    </w:p>
    <w:p w:rsidR="009F3A93" w:rsidRPr="009F3A93" w:rsidRDefault="009F3A93" w:rsidP="008732AA">
      <w:r w:rsidRPr="009F3A93">
        <w:t xml:space="preserve">Pour traiter </w:t>
      </w:r>
      <w:r>
        <w:t xml:space="preserve">les persécutions à l’encontre des tsiganes durant la Seconde Guerre Mondiale, on pourra s’appuyer sur le site du camp de </w:t>
      </w:r>
      <w:proofErr w:type="spellStart"/>
      <w:r>
        <w:t>Coudrecieux</w:t>
      </w:r>
      <w:proofErr w:type="spellEnd"/>
      <w:r>
        <w:t xml:space="preserve"> pour illustrer le propos avec un exemple local.</w:t>
      </w:r>
    </w:p>
    <w:p w:rsidR="009F3A93" w:rsidRDefault="009F3A93" w:rsidP="008732AA">
      <w:pPr>
        <w:rPr>
          <w:b/>
          <w:u w:val="single"/>
        </w:rPr>
      </w:pPr>
    </w:p>
    <w:p w:rsidR="00007338" w:rsidRPr="008732AA" w:rsidRDefault="008732AA" w:rsidP="008732AA">
      <w:pPr>
        <w:rPr>
          <w:b/>
          <w:u w:val="single"/>
        </w:rPr>
      </w:pPr>
      <w:r w:rsidRPr="008732AA">
        <w:rPr>
          <w:b/>
          <w:u w:val="single"/>
        </w:rPr>
        <w:t>Présentation du contexte :</w:t>
      </w:r>
    </w:p>
    <w:p w:rsidR="00323C22" w:rsidRDefault="00323C22" w:rsidP="004C4123">
      <w:pPr>
        <w:spacing w:before="100" w:beforeAutospacing="1" w:after="100" w:afterAutospacing="1" w:line="240" w:lineRule="auto"/>
      </w:pPr>
      <w:r>
        <w:t>Durant la Seconde Guerre mondiale, les familles manouches, dites « Nomades », au nombre de 6 500 personnes, pour la plupart de nationalité française, après avoir été assignées à résidence selon le décret d’avril 1940 sous la République finissante, sont internées en zone occupée dans les camps, à partir d’octobre de la même année, jusqu’en mai 1946 (pour le camp « Les </w:t>
      </w:r>
      <w:proofErr w:type="spellStart"/>
      <w:r>
        <w:t>Alliers</w:t>
      </w:r>
      <w:proofErr w:type="spellEnd"/>
      <w:r>
        <w:t> » d’Angoulême). L’ordre provient du commandement militaire allemand, mais l’organisation et la gestion quotidienne de l’internement sont mises en œuvre par le régime de Vichy. Les conditions de vie matérielle s’y révèlent déplorables. Comme le montrent différents récits des victimes, la perte de leurs biens matériels ne suscita aucun intérêt ni réparation matérielle et symbolique. Cet épisode dramatique survenu dans la vie des familles, dont témoigne aussi la déportation de certains hommes, a été longtemps occulté. Tout autant de la part de l’État français, des trente communes où les Tsiganes furent internés, que dans le champ du savoir historique et de la mémoire officielle. Il faut attendre 2016 pour que la République reconnaisse la responsabilité de la France dans l’internement de milliers de Nomades.</w:t>
      </w:r>
    </w:p>
    <w:p w:rsidR="00323C22" w:rsidRDefault="00323C22" w:rsidP="004C4123">
      <w:pPr>
        <w:spacing w:before="100" w:beforeAutospacing="1" w:after="100" w:afterAutospacing="1" w:line="240" w:lineRule="auto"/>
      </w:pPr>
    </w:p>
    <w:p w:rsidR="008732AA" w:rsidRPr="008732AA" w:rsidRDefault="008732AA" w:rsidP="004C4123">
      <w:pPr>
        <w:spacing w:before="100" w:beforeAutospacing="1" w:after="100" w:afterAutospacing="1" w:line="240" w:lineRule="auto"/>
        <w:rPr>
          <w:b/>
          <w:u w:val="single"/>
        </w:rPr>
      </w:pPr>
      <w:r w:rsidRPr="008732AA">
        <w:rPr>
          <w:b/>
          <w:u w:val="single"/>
        </w:rPr>
        <w:t>Le camp de la verrerie :</w:t>
      </w:r>
    </w:p>
    <w:p w:rsidR="009F34DF" w:rsidRDefault="004C4123" w:rsidP="004C4123">
      <w:pPr>
        <w:spacing w:before="100" w:beforeAutospacing="1" w:after="100" w:afterAutospacing="1" w:line="240" w:lineRule="auto"/>
        <w:rPr>
          <w:rFonts w:eastAsia="Times New Roman" w:cstheme="minorHAnsi"/>
          <w:lang w:eastAsia="fr-FR"/>
        </w:rPr>
      </w:pPr>
      <w:r>
        <w:t xml:space="preserve">Le camp de la Pierre fut créé le 18 novembre 1940 dans une ancienne verrerie, à l’est de </w:t>
      </w:r>
      <w:proofErr w:type="spellStart"/>
      <w:r>
        <w:t>Coudrecieux</w:t>
      </w:r>
      <w:proofErr w:type="spellEnd"/>
      <w:r>
        <w:t xml:space="preserve">, à proximité du château de la Pierre. </w:t>
      </w:r>
      <w:r w:rsidRPr="004C4123">
        <w:rPr>
          <w:rFonts w:eastAsia="Times New Roman" w:cstheme="minorHAnsi"/>
          <w:lang w:eastAsia="fr-FR"/>
        </w:rPr>
        <w:t xml:space="preserve">Quelques familles de Nomades ainsi que leurs enfants logent dans leur roulotte, le plus grand nombre est installé dans des bâtiments en dur. </w:t>
      </w:r>
    </w:p>
    <w:p w:rsidR="004C4123" w:rsidRDefault="004C4123" w:rsidP="004C4123">
      <w:pPr>
        <w:spacing w:before="100" w:beforeAutospacing="1" w:after="100" w:afterAutospacing="1" w:line="240" w:lineRule="auto"/>
        <w:rPr>
          <w:rFonts w:eastAsia="Times New Roman" w:cstheme="minorHAnsi"/>
          <w:lang w:eastAsia="fr-FR"/>
        </w:rPr>
      </w:pPr>
      <w:r w:rsidRPr="004C4123">
        <w:rPr>
          <w:rFonts w:eastAsia="Times New Roman" w:cstheme="minorHAnsi"/>
          <w:lang w:eastAsia="fr-FR"/>
        </w:rPr>
        <w:t>Un rapport du docteur inspecteur adjoint de la Santé, daté du 5 janvier 1942, nous décrit ces différents logements.  L’effectif se présente alors ainsi : 218 hommes et femmes, 96 enfants. 19 sont à l’hôpital du Mans, 3 à l’hôpital de Saint-Calais (des malades seraient morts en voiture pendant un transport à l’hôpital), 4 sont en prison et 29 se sont évadés…</w:t>
      </w:r>
    </w:p>
    <w:p w:rsidR="008732AA" w:rsidRDefault="008732AA" w:rsidP="008732AA">
      <w:pPr>
        <w:spacing w:before="100" w:beforeAutospacing="1" w:after="100" w:afterAutospacing="1" w:line="240" w:lineRule="auto"/>
        <w:jc w:val="center"/>
        <w:rPr>
          <w:rFonts w:eastAsia="Times New Roman" w:cstheme="minorHAnsi"/>
          <w:lang w:eastAsia="fr-FR"/>
        </w:rPr>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2776855</wp:posOffset>
                </wp:positionH>
                <wp:positionV relativeFrom="paragraph">
                  <wp:posOffset>631190</wp:posOffset>
                </wp:positionV>
                <wp:extent cx="733425" cy="695325"/>
                <wp:effectExtent l="19050" t="19050" r="28575" b="28575"/>
                <wp:wrapNone/>
                <wp:docPr id="3" name="Ellipse 3"/>
                <wp:cNvGraphicFramePr/>
                <a:graphic xmlns:a="http://schemas.openxmlformats.org/drawingml/2006/main">
                  <a:graphicData uri="http://schemas.microsoft.com/office/word/2010/wordprocessingShape">
                    <wps:wsp>
                      <wps:cNvSpPr/>
                      <wps:spPr>
                        <a:xfrm>
                          <a:off x="0" y="0"/>
                          <a:ext cx="733425" cy="695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55EE0F" id="Ellipse 3" o:spid="_x0000_s1026" style="position:absolute;margin-left:218.65pt;margin-top:49.7pt;width:57.7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" filled="f" strokecolor="red" strokeweight="2.25pt">
                <v:stroke joinstyle="miter"/>
              </v:oval>
            </w:pict>
          </mc:Fallback>
        </mc:AlternateContent>
      </w:r>
      <w:r>
        <w:rPr>
          <w:noProof/>
          <w:lang w:eastAsia="fr-FR"/>
        </w:rPr>
        <w:drawing>
          <wp:inline distT="0" distB="0" distL="0" distR="0" wp14:anchorId="29BDAB0C" wp14:editId="57EA7FAF">
            <wp:extent cx="3681514" cy="23431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06568" cy="2422742"/>
                    </a:xfrm>
                    <a:prstGeom prst="rect">
                      <a:avLst/>
                    </a:prstGeom>
                  </pic:spPr>
                </pic:pic>
              </a:graphicData>
            </a:graphic>
          </wp:inline>
        </w:drawing>
      </w:r>
    </w:p>
    <w:p w:rsidR="008732AA" w:rsidRPr="008732AA" w:rsidRDefault="008732AA" w:rsidP="008732AA">
      <w:pPr>
        <w:spacing w:before="100" w:beforeAutospacing="1" w:after="100" w:afterAutospacing="1" w:line="240" w:lineRule="auto"/>
        <w:jc w:val="center"/>
        <w:rPr>
          <w:rFonts w:eastAsia="Times New Roman" w:cstheme="minorHAnsi"/>
          <w:sz w:val="18"/>
          <w:szCs w:val="18"/>
          <w:lang w:eastAsia="fr-FR"/>
        </w:rPr>
      </w:pPr>
      <w:r w:rsidRPr="008732AA">
        <w:rPr>
          <w:rFonts w:eastAsia="Times New Roman" w:cstheme="minorHAnsi"/>
          <w:sz w:val="18"/>
          <w:szCs w:val="18"/>
          <w:lang w:eastAsia="fr-FR"/>
        </w:rPr>
        <w:t>Vue aérienne du château</w:t>
      </w:r>
      <w:r w:rsidR="009F3A93">
        <w:rPr>
          <w:rFonts w:eastAsia="Times New Roman" w:cstheme="minorHAnsi"/>
          <w:sz w:val="18"/>
          <w:szCs w:val="18"/>
          <w:lang w:eastAsia="fr-FR"/>
        </w:rPr>
        <w:t xml:space="preserve"> de la Pierre et de la verrerie</w:t>
      </w:r>
      <w:r>
        <w:rPr>
          <w:rFonts w:eastAsia="Times New Roman" w:cstheme="minorHAnsi"/>
          <w:sz w:val="18"/>
          <w:szCs w:val="18"/>
          <w:lang w:eastAsia="fr-FR"/>
        </w:rPr>
        <w:t xml:space="preserve"> </w:t>
      </w:r>
      <w:r w:rsidRPr="008732AA">
        <w:rPr>
          <w:rFonts w:eastAsia="Times New Roman" w:cstheme="minorHAnsi"/>
          <w:sz w:val="18"/>
          <w:szCs w:val="18"/>
          <w:lang w:eastAsia="fr-FR"/>
        </w:rPr>
        <w:t>(aujourd’hui disparue)</w:t>
      </w:r>
      <w:r w:rsidR="009F3A93">
        <w:rPr>
          <w:rFonts w:eastAsia="Times New Roman" w:cstheme="minorHAnsi"/>
          <w:sz w:val="18"/>
          <w:szCs w:val="18"/>
          <w:lang w:eastAsia="fr-FR"/>
        </w:rPr>
        <w:t xml:space="preserve"> en 1949. Source : remonterle</w:t>
      </w:r>
      <w:r w:rsidRPr="008732AA">
        <w:rPr>
          <w:rFonts w:eastAsia="Times New Roman" w:cstheme="minorHAnsi"/>
          <w:sz w:val="18"/>
          <w:szCs w:val="18"/>
          <w:lang w:eastAsia="fr-FR"/>
        </w:rPr>
        <w:t>temps</w:t>
      </w:r>
      <w:r w:rsidR="009F3A93">
        <w:rPr>
          <w:rFonts w:eastAsia="Times New Roman" w:cstheme="minorHAnsi"/>
          <w:sz w:val="18"/>
          <w:szCs w:val="18"/>
          <w:lang w:eastAsia="fr-FR"/>
        </w:rPr>
        <w:t>.ign.fr</w:t>
      </w:r>
      <w:bookmarkStart w:id="0" w:name="_GoBack"/>
      <w:bookmarkEnd w:id="0"/>
    </w:p>
    <w:p w:rsidR="004C4123" w:rsidRPr="004C4123" w:rsidRDefault="009F34DF" w:rsidP="004C4123">
      <w:pPr>
        <w:spacing w:before="100" w:beforeAutospacing="1" w:after="100" w:afterAutospacing="1" w:line="240" w:lineRule="auto"/>
        <w:rPr>
          <w:rFonts w:eastAsia="Times New Roman" w:cstheme="minorHAnsi"/>
          <w:lang w:eastAsia="fr-FR"/>
        </w:rPr>
      </w:pPr>
      <w:r>
        <w:rPr>
          <w:noProof/>
          <w:lang w:eastAsia="fr-FR"/>
        </w:rPr>
        <w:lastRenderedPageBreak/>
        <w:drawing>
          <wp:inline distT="0" distB="0" distL="0" distR="0" wp14:anchorId="33C20A2A" wp14:editId="360CCFA4">
            <wp:extent cx="5733687" cy="5867400"/>
            <wp:effectExtent l="0" t="0" r="63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31657"/>
                    <a:stretch/>
                  </pic:blipFill>
                  <pic:spPr bwMode="auto">
                    <a:xfrm>
                      <a:off x="0" y="0"/>
                      <a:ext cx="5743375" cy="5877314"/>
                    </a:xfrm>
                    <a:prstGeom prst="rect">
                      <a:avLst/>
                    </a:prstGeom>
                    <a:ln>
                      <a:noFill/>
                    </a:ln>
                    <a:extLst>
                      <a:ext uri="{53640926-AAD7-44D8-BBD7-CCE9431645EC}">
                        <a14:shadowObscured xmlns:a14="http://schemas.microsoft.com/office/drawing/2010/main"/>
                      </a:ext>
                    </a:extLst>
                  </pic:spPr>
                </pic:pic>
              </a:graphicData>
            </a:graphic>
          </wp:inline>
        </w:drawing>
      </w:r>
    </w:p>
    <w:p w:rsidR="004C4123" w:rsidRDefault="009F34DF" w:rsidP="004C4123">
      <w:r>
        <w:rPr>
          <w:noProof/>
          <w:lang w:eastAsia="fr-FR"/>
        </w:rPr>
        <w:drawing>
          <wp:inline distT="0" distB="0" distL="0" distR="0" wp14:anchorId="7B41BAD1" wp14:editId="23A8D61E">
            <wp:extent cx="5742169" cy="3275330"/>
            <wp:effectExtent l="0" t="0" r="0" b="127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9900" b="11185"/>
                    <a:stretch/>
                  </pic:blipFill>
                  <pic:spPr bwMode="auto">
                    <a:xfrm>
                      <a:off x="0" y="0"/>
                      <a:ext cx="5751220" cy="3280493"/>
                    </a:xfrm>
                    <a:prstGeom prst="rect">
                      <a:avLst/>
                    </a:prstGeom>
                    <a:ln>
                      <a:noFill/>
                    </a:ln>
                    <a:extLst>
                      <a:ext uri="{53640926-AAD7-44D8-BBD7-CCE9431645EC}">
                        <a14:shadowObscured xmlns:a14="http://schemas.microsoft.com/office/drawing/2010/main"/>
                      </a:ext>
                    </a:extLst>
                  </pic:spPr>
                </pic:pic>
              </a:graphicData>
            </a:graphic>
          </wp:inline>
        </w:drawing>
      </w:r>
    </w:p>
    <w:p w:rsidR="009F34DF" w:rsidRDefault="009F34DF" w:rsidP="004C4123"/>
    <w:p w:rsidR="009F34DF" w:rsidRDefault="009F34DF" w:rsidP="009F34DF">
      <w:pPr>
        <w:spacing w:before="100" w:beforeAutospacing="1" w:after="100" w:afterAutospacing="1" w:line="240" w:lineRule="auto"/>
        <w:rPr>
          <w:rFonts w:eastAsia="Times New Roman" w:cstheme="minorHAnsi"/>
          <w:lang w:eastAsia="fr-FR"/>
        </w:rPr>
      </w:pPr>
      <w:r>
        <w:rPr>
          <w:rFonts w:eastAsia="Times New Roman" w:cstheme="minorHAnsi"/>
          <w:lang w:eastAsia="fr-FR"/>
        </w:rPr>
        <w:lastRenderedPageBreak/>
        <w:t xml:space="preserve">Les conditions </w:t>
      </w:r>
      <w:r w:rsidR="002274F9">
        <w:rPr>
          <w:rFonts w:eastAsia="Times New Roman" w:cstheme="minorHAnsi"/>
          <w:lang w:eastAsia="fr-FR"/>
        </w:rPr>
        <w:t>de vie sont tellement désastreus</w:t>
      </w:r>
      <w:r>
        <w:rPr>
          <w:rFonts w:eastAsia="Times New Roman" w:cstheme="minorHAnsi"/>
          <w:lang w:eastAsia="fr-FR"/>
        </w:rPr>
        <w:t xml:space="preserve">es que le Préfet Picot demande aux Allemands la mise à disposition du </w:t>
      </w:r>
      <w:proofErr w:type="spellStart"/>
      <w:r>
        <w:rPr>
          <w:rFonts w:eastAsia="Times New Roman" w:cstheme="minorHAnsi"/>
          <w:lang w:eastAsia="fr-FR"/>
        </w:rPr>
        <w:t>frontstalag</w:t>
      </w:r>
      <w:proofErr w:type="spellEnd"/>
      <w:r>
        <w:rPr>
          <w:rFonts w:eastAsia="Times New Roman" w:cstheme="minorHAnsi"/>
          <w:lang w:eastAsia="fr-FR"/>
        </w:rPr>
        <w:t xml:space="preserve"> désaffecté de </w:t>
      </w:r>
      <w:proofErr w:type="spellStart"/>
      <w:r>
        <w:rPr>
          <w:rFonts w:eastAsia="Times New Roman" w:cstheme="minorHAnsi"/>
          <w:lang w:eastAsia="fr-FR"/>
        </w:rPr>
        <w:t>Mulsanne</w:t>
      </w:r>
      <w:proofErr w:type="spellEnd"/>
      <w:r>
        <w:rPr>
          <w:rFonts w:eastAsia="Times New Roman" w:cstheme="minorHAnsi"/>
          <w:lang w:eastAsia="fr-FR"/>
        </w:rPr>
        <w:t>.</w:t>
      </w:r>
    </w:p>
    <w:p w:rsidR="009F34DF" w:rsidRDefault="009F34DF" w:rsidP="009F34DF">
      <w:pPr>
        <w:spacing w:before="100" w:beforeAutospacing="1" w:after="100" w:afterAutospacing="1" w:line="240" w:lineRule="auto"/>
        <w:rPr>
          <w:rFonts w:eastAsia="Times New Roman" w:cstheme="minorHAnsi"/>
          <w:lang w:eastAsia="fr-FR"/>
        </w:rPr>
      </w:pPr>
      <w:r w:rsidRPr="004C4123">
        <w:rPr>
          <w:rFonts w:eastAsia="Times New Roman" w:cstheme="minorHAnsi"/>
          <w:lang w:eastAsia="fr-FR"/>
        </w:rPr>
        <w:t xml:space="preserve">Les internés sont au nombre de 370 le 17 mars 1942, peu avant leur transfert dans le camp de </w:t>
      </w:r>
      <w:proofErr w:type="spellStart"/>
      <w:r w:rsidRPr="004C4123">
        <w:rPr>
          <w:rFonts w:eastAsia="Times New Roman" w:cstheme="minorHAnsi"/>
          <w:lang w:eastAsia="fr-FR"/>
        </w:rPr>
        <w:t>Mulsanne</w:t>
      </w:r>
      <w:proofErr w:type="spellEnd"/>
      <w:r w:rsidRPr="004C4123">
        <w:rPr>
          <w:rFonts w:eastAsia="Times New Roman" w:cstheme="minorHAnsi"/>
          <w:lang w:eastAsia="fr-FR"/>
        </w:rPr>
        <w:t xml:space="preserve">. Ils quittent </w:t>
      </w:r>
      <w:proofErr w:type="spellStart"/>
      <w:r w:rsidRPr="004C4123">
        <w:rPr>
          <w:rFonts w:eastAsia="Times New Roman" w:cstheme="minorHAnsi"/>
          <w:lang w:eastAsia="fr-FR"/>
        </w:rPr>
        <w:t>Coudrecieux</w:t>
      </w:r>
      <w:proofErr w:type="spellEnd"/>
      <w:r w:rsidRPr="004C4123">
        <w:rPr>
          <w:rFonts w:eastAsia="Times New Roman" w:cstheme="minorHAnsi"/>
          <w:lang w:eastAsia="fr-FR"/>
        </w:rPr>
        <w:t xml:space="preserve"> le 15 avril. Les roulottes restent dans un local de la Verrerie sous la surveillance d’un g</w:t>
      </w:r>
      <w:r>
        <w:rPr>
          <w:rFonts w:eastAsia="Times New Roman" w:cstheme="minorHAnsi"/>
          <w:lang w:eastAsia="fr-FR"/>
        </w:rPr>
        <w:t>ardien</w:t>
      </w:r>
      <w:r w:rsidRPr="004C4123">
        <w:rPr>
          <w:rFonts w:eastAsia="Times New Roman" w:cstheme="minorHAnsi"/>
          <w:lang w:eastAsia="fr-FR"/>
        </w:rPr>
        <w:t>. Elles y seront encore le 31 juillet 1944.</w:t>
      </w:r>
    </w:p>
    <w:p w:rsidR="008732AA" w:rsidRPr="004C4123" w:rsidRDefault="008732AA" w:rsidP="009F34DF">
      <w:pPr>
        <w:spacing w:before="100" w:beforeAutospacing="1" w:after="100" w:afterAutospacing="1" w:line="240" w:lineRule="auto"/>
        <w:rPr>
          <w:rFonts w:eastAsia="Times New Roman" w:cstheme="minorHAnsi"/>
          <w:lang w:eastAsia="fr-FR"/>
        </w:rPr>
      </w:pPr>
      <w:r>
        <w:rPr>
          <w:rFonts w:eastAsia="Times New Roman" w:cstheme="minorHAnsi"/>
          <w:lang w:eastAsia="fr-FR"/>
        </w:rPr>
        <w:t>Les internés du camp de la verrerie furent ensuite transférés au camp de Montreuil-Bellay</w:t>
      </w:r>
      <w:r w:rsidR="00172C4B">
        <w:rPr>
          <w:rFonts w:eastAsia="Times New Roman" w:cstheme="minorHAnsi"/>
          <w:lang w:eastAsia="fr-FR"/>
        </w:rPr>
        <w:t xml:space="preserve"> (Maine et Loire)</w:t>
      </w:r>
      <w:r>
        <w:rPr>
          <w:rFonts w:eastAsia="Times New Roman" w:cstheme="minorHAnsi"/>
          <w:lang w:eastAsia="fr-FR"/>
        </w:rPr>
        <w:t xml:space="preserve">, le 3 août 1942. Ils ne seront restés </w:t>
      </w:r>
      <w:r w:rsidR="00172C4B">
        <w:rPr>
          <w:rFonts w:eastAsia="Times New Roman" w:cstheme="minorHAnsi"/>
          <w:lang w:eastAsia="fr-FR"/>
        </w:rPr>
        <w:t xml:space="preserve">que trois mois et demie au camp de </w:t>
      </w:r>
      <w:proofErr w:type="spellStart"/>
      <w:r w:rsidR="00172C4B">
        <w:rPr>
          <w:rFonts w:eastAsia="Times New Roman" w:cstheme="minorHAnsi"/>
          <w:lang w:eastAsia="fr-FR"/>
        </w:rPr>
        <w:t>Mulsanne</w:t>
      </w:r>
      <w:proofErr w:type="spellEnd"/>
      <w:r w:rsidR="00172C4B">
        <w:rPr>
          <w:rFonts w:eastAsia="Times New Roman" w:cstheme="minorHAnsi"/>
          <w:lang w:eastAsia="fr-FR"/>
        </w:rPr>
        <w:t>. Une nouvelle fois, leur transfert est demandé par les Allemands en raison des trop mauvaises conditions de vie et d’hygiène.</w:t>
      </w:r>
    </w:p>
    <w:p w:rsidR="009F34DF" w:rsidRDefault="002274F9" w:rsidP="004C4123">
      <w:r>
        <w:rPr>
          <w:noProof/>
          <w:lang w:eastAsia="fr-FR"/>
        </w:rPr>
        <w:drawing>
          <wp:inline distT="0" distB="0" distL="0" distR="0" wp14:anchorId="6A3DC2A4" wp14:editId="5E60F8B9">
            <wp:extent cx="2438400" cy="1860769"/>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6641" t="44844" b="28808"/>
                    <a:stretch/>
                  </pic:blipFill>
                  <pic:spPr bwMode="auto">
                    <a:xfrm>
                      <a:off x="0" y="0"/>
                      <a:ext cx="2468850" cy="1884006"/>
                    </a:xfrm>
                    <a:prstGeom prst="rect">
                      <a:avLst/>
                    </a:prstGeom>
                    <a:ln>
                      <a:noFill/>
                    </a:ln>
                    <a:extLst>
                      <a:ext uri="{53640926-AAD7-44D8-BBD7-CCE9431645EC}">
                        <a14:shadowObscured xmlns:a14="http://schemas.microsoft.com/office/drawing/2010/main"/>
                      </a:ext>
                    </a:extLst>
                  </pic:spPr>
                </pic:pic>
              </a:graphicData>
            </a:graphic>
          </wp:inline>
        </w:drawing>
      </w:r>
      <w:proofErr w:type="gramStart"/>
      <w:r w:rsidR="00323C22" w:rsidRPr="00323C22">
        <w:rPr>
          <w:sz w:val="18"/>
          <w:szCs w:val="18"/>
        </w:rPr>
        <w:t>source</w:t>
      </w:r>
      <w:proofErr w:type="gramEnd"/>
      <w:r w:rsidR="00323C22" w:rsidRPr="00323C22">
        <w:rPr>
          <w:sz w:val="18"/>
          <w:szCs w:val="18"/>
        </w:rPr>
        <w:t> :</w:t>
      </w:r>
      <w:r w:rsidR="00172C4B">
        <w:rPr>
          <w:sz w:val="18"/>
          <w:szCs w:val="18"/>
        </w:rPr>
        <w:t xml:space="preserve"> site ajpn.o</w:t>
      </w:r>
      <w:r w:rsidR="00323C22" w:rsidRPr="00323C22">
        <w:rPr>
          <w:sz w:val="18"/>
          <w:szCs w:val="18"/>
        </w:rPr>
        <w:t>rg</w:t>
      </w:r>
    </w:p>
    <w:p w:rsidR="00323C22" w:rsidRPr="00323C22" w:rsidRDefault="00323C22" w:rsidP="004C4123">
      <w:pPr>
        <w:rPr>
          <w:u w:val="single"/>
        </w:rPr>
      </w:pPr>
      <w:r w:rsidRPr="00323C22">
        <w:rPr>
          <w:u w:val="single"/>
        </w:rPr>
        <w:t>Sources :</w:t>
      </w:r>
    </w:p>
    <w:p w:rsidR="00323C22" w:rsidRDefault="00323C22" w:rsidP="00323C22">
      <w:r>
        <w:t>Site : Mémorial des Nomades de France</w:t>
      </w:r>
    </w:p>
    <w:p w:rsidR="00323C22" w:rsidRDefault="00323C22" w:rsidP="004C4123">
      <w:r>
        <w:t>Site : ajpn.org</w:t>
      </w:r>
    </w:p>
    <w:p w:rsidR="00323C22" w:rsidRDefault="00323C22" w:rsidP="00323C22">
      <w:r>
        <w:t>Site : Mémoires-tsiganes : 1939-1946</w:t>
      </w:r>
    </w:p>
    <w:p w:rsidR="00323C22" w:rsidRDefault="00007338" w:rsidP="004C4123">
      <w:r>
        <w:t xml:space="preserve">Article « Le sort des Tsiganes en France, 1939-1946. Une histoire-mémoire occultée », sur </w:t>
      </w:r>
      <w:hyperlink r:id="rId12" w:history="1">
        <w:r w:rsidRPr="00D95E0B">
          <w:rPr>
            <w:rStyle w:val="Lienhypertexte"/>
          </w:rPr>
          <w:t>https://journals.openedition.org/temoigner/10939?lang=en</w:t>
        </w:r>
      </w:hyperlink>
    </w:p>
    <w:p w:rsidR="00007338" w:rsidRPr="004C4123" w:rsidRDefault="00007338" w:rsidP="004C4123"/>
    <w:sectPr w:rsidR="00007338" w:rsidRPr="004C4123" w:rsidSect="009F3A93">
      <w:footerReference w:type="default" r:id="rId13"/>
      <w:pgSz w:w="11906" w:h="16838"/>
      <w:pgMar w:top="709" w:right="1417" w:bottom="851"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31D" w:rsidRDefault="0019231D" w:rsidP="00172C4B">
      <w:pPr>
        <w:spacing w:after="0" w:line="240" w:lineRule="auto"/>
      </w:pPr>
      <w:r>
        <w:separator/>
      </w:r>
    </w:p>
  </w:endnote>
  <w:endnote w:type="continuationSeparator" w:id="0">
    <w:p w:rsidR="0019231D" w:rsidRDefault="0019231D" w:rsidP="00172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C4B" w:rsidRPr="00172C4B" w:rsidRDefault="00172C4B">
    <w:pPr>
      <w:pStyle w:val="Pieddepage"/>
      <w:rPr>
        <w:sz w:val="18"/>
        <w:szCs w:val="18"/>
      </w:rPr>
    </w:pPr>
    <w:r w:rsidRPr="00172C4B">
      <w:rPr>
        <w:sz w:val="18"/>
        <w:szCs w:val="18"/>
      </w:rPr>
      <w:t>Document créé par le CPD72 FPC-RMAH, novembre 2023</w:t>
    </w:r>
  </w:p>
  <w:p w:rsidR="00172C4B" w:rsidRDefault="00172C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31D" w:rsidRDefault="0019231D" w:rsidP="00172C4B">
      <w:pPr>
        <w:spacing w:after="0" w:line="240" w:lineRule="auto"/>
      </w:pPr>
      <w:r>
        <w:separator/>
      </w:r>
    </w:p>
  </w:footnote>
  <w:footnote w:type="continuationSeparator" w:id="0">
    <w:p w:rsidR="0019231D" w:rsidRDefault="0019231D" w:rsidP="00172C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123"/>
    <w:rsid w:val="00007338"/>
    <w:rsid w:val="00172C4B"/>
    <w:rsid w:val="0019231D"/>
    <w:rsid w:val="002274F9"/>
    <w:rsid w:val="00323C22"/>
    <w:rsid w:val="004C4123"/>
    <w:rsid w:val="008732AA"/>
    <w:rsid w:val="008E08D5"/>
    <w:rsid w:val="009F34DF"/>
    <w:rsid w:val="009F3A93"/>
    <w:rsid w:val="00C154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82542"/>
  <w15:chartTrackingRefBased/>
  <w15:docId w15:val="{729725C3-D8CF-4A7A-AA02-BFA95156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07338"/>
    <w:rPr>
      <w:color w:val="0563C1" w:themeColor="hyperlink"/>
      <w:u w:val="single"/>
    </w:rPr>
  </w:style>
  <w:style w:type="paragraph" w:styleId="En-tte">
    <w:name w:val="header"/>
    <w:basedOn w:val="Normal"/>
    <w:link w:val="En-tteCar"/>
    <w:uiPriority w:val="99"/>
    <w:unhideWhenUsed/>
    <w:rsid w:val="00172C4B"/>
    <w:pPr>
      <w:tabs>
        <w:tab w:val="center" w:pos="4536"/>
        <w:tab w:val="right" w:pos="9072"/>
      </w:tabs>
      <w:spacing w:after="0" w:line="240" w:lineRule="auto"/>
    </w:pPr>
  </w:style>
  <w:style w:type="character" w:customStyle="1" w:styleId="En-tteCar">
    <w:name w:val="En-tête Car"/>
    <w:basedOn w:val="Policepardfaut"/>
    <w:link w:val="En-tte"/>
    <w:uiPriority w:val="99"/>
    <w:rsid w:val="00172C4B"/>
  </w:style>
  <w:style w:type="paragraph" w:styleId="Pieddepage">
    <w:name w:val="footer"/>
    <w:basedOn w:val="Normal"/>
    <w:link w:val="PieddepageCar"/>
    <w:uiPriority w:val="99"/>
    <w:unhideWhenUsed/>
    <w:rsid w:val="00172C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2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journals.openedition.org/temoigner/10939?lang=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D15C1-2D21-448B-B8E2-F86C6BB3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517</Words>
  <Characters>2845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3</cp:revision>
  <dcterms:created xsi:type="dcterms:W3CDTF">2023-11-15T10:38:00Z</dcterms:created>
  <dcterms:modified xsi:type="dcterms:W3CDTF">2023-11-16T08:24:00Z</dcterms:modified>
</cp:coreProperties>
</file>