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4.emf" ContentType="image/x-emf"/>
  <Override PartName="/word/media/image1.jpeg" ContentType="image/jpeg"/>
  <Override PartName="/word/media/image8.emf" ContentType="image/x-emf"/>
  <Override PartName="/word/media/image25.emf" ContentType="image/x-emf"/>
  <Override PartName="/word/media/image7.png" ContentType="image/png"/>
  <Override PartName="/word/media/image26.jpeg" ContentType="image/jpeg"/>
  <Override PartName="/word/media/image2.gif" ContentType="image/gif"/>
  <Override PartName="/word/media/image23.emf" ContentType="image/x-emf"/>
  <Override PartName="/word/media/image5.png" ContentType="image/png"/>
  <Override PartName="/word/media/image3.jpeg" ContentType="image/jpeg"/>
  <Override PartName="/word/media/image24.emf" ContentType="image/x-emf"/>
  <Override PartName="/word/media/image6.png" ContentType="image/png"/>
  <Override PartName="/word/media/image9.emf" ContentType="image/x-emf"/>
  <Override PartName="/word/media/image19.emf" ContentType="image/x-emf"/>
  <Override PartName="/word/media/image10.png" ContentType="image/png"/>
  <Override PartName="/word/media/image18.emf" ContentType="image/x-emf"/>
  <Override PartName="/word/media/image11.jpeg" ContentType="image/jpeg"/>
  <Override PartName="/word/media/image12.jpeg" ContentType="image/jpeg"/>
  <Override PartName="/word/media/image13.emf" ContentType="image/x-emf"/>
  <Override PartName="/word/media/image14.emf" ContentType="image/x-emf"/>
  <Override PartName="/word/media/image15.emf" ContentType="image/x-emf"/>
  <Override PartName="/word/media/image16.emf" ContentType="image/x-emf"/>
  <Override PartName="/word/media/image17.emf" ContentType="image/x-emf"/>
  <Override PartName="/word/media/image20.emf" ContentType="image/x-emf"/>
  <Override PartName="/word/media/image21.emf" ContentType="image/x-emf"/>
  <Override PartName="/word/media/image22.emf" ContentType="image/x-emf"/>
  <Override PartName="/word/theme/theme1.xml" ContentType="application/vnd.openxmlformats-officedocument.theme+xml"/>
  <Override PartName="/word/embeddings/oleObject9.bin" ContentType="application/vnd.openxmlformats-officedocument.oleObject"/>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foot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ind w:left="360" w:hanging="0"/>
        <w:rPr>
          <w:rFonts w:ascii="Arial Narrow" w:hAnsi="Arial Narrow"/>
          <w:sz w:val="20"/>
          <w:szCs w:val="20"/>
        </w:rPr>
      </w:pPr>
      <w:r>
        <w:rPr>
          <w:rFonts w:ascii="Arial Narrow" w:hAnsi="Arial Narrow"/>
          <w:sz w:val="20"/>
          <w:szCs w:val="20"/>
        </w:rPr>
        <w:t xml:space="preserve"> </w:t>
      </w:r>
    </w:p>
    <w:p>
      <w:pPr>
        <w:pStyle w:val="Normal"/>
        <w:rPr>
          <w:rFonts w:ascii="Arial Narrow" w:hAnsi="Arial Narrow"/>
          <w:sz w:val="20"/>
          <w:szCs w:val="20"/>
        </w:rPr>
      </w:pPr>
      <w:r>
        <w:rPr>
          <w:rFonts w:ascii="Arial Narrow" w:hAnsi="Arial Narrow"/>
          <w:sz w:val="20"/>
          <w:szCs w:val="20"/>
        </w:rPr>
      </w:r>
    </w:p>
    <w:p>
      <w:pPr>
        <w:pStyle w:val="Normal"/>
        <w:rPr/>
      </w:pPr>
      <w:r>
        <w:rPr/>
      </w:r>
    </w:p>
    <w:p>
      <w:pPr>
        <w:pStyle w:val="Normal"/>
        <w:rPr/>
      </w:pPr>
      <w:r>
        <w:rPr/>
        <w:t xml:space="preserve">Fiche pour 4 TP </w:t>
      </w:r>
    </w:p>
    <w:p>
      <w:pPr>
        <w:pStyle w:val="ListParagraph"/>
        <w:numPr>
          <w:ilvl w:val="0"/>
          <w:numId w:val="8"/>
        </w:numPr>
        <w:rPr>
          <w:rFonts w:ascii="Times New Roman" w:hAnsi="Times New Roman"/>
          <w:sz w:val="24"/>
          <w:szCs w:val="24"/>
        </w:rPr>
      </w:pPr>
      <w:r>
        <w:rPr/>
        <w:t>fiche pour élève, avec attente de compte rendu en ligne</w:t>
      </w:r>
    </w:p>
    <w:p>
      <w:pPr>
        <w:pStyle w:val="ListParagraph"/>
        <w:numPr>
          <w:ilvl w:val="0"/>
          <w:numId w:val="8"/>
        </w:numPr>
        <w:rPr>
          <w:rFonts w:ascii="Times New Roman" w:hAnsi="Times New Roman"/>
          <w:sz w:val="24"/>
          <w:szCs w:val="24"/>
        </w:rPr>
      </w:pPr>
      <w:r>
        <w:rPr/>
        <w:t>bilan Classe Virtuelle pour les élèves en difficultés techniques ou personnels sur le plan des apprentissages</w:t>
      </w:r>
    </w:p>
    <w:p>
      <w:pPr>
        <w:pStyle w:val="Normal"/>
        <w:rPr>
          <w:b/>
          <w:b/>
          <w:bCs/>
          <w:u w:val="single"/>
        </w:rPr>
      </w:pPr>
      <w:r>
        <w:rPr>
          <w:b/>
          <w:bCs/>
          <w:u w:val="single"/>
        </w:rPr>
        <w:t>TP Dosage par titrage pH-métrique d’un vinaigre (2 pages)</w:t>
      </w:r>
    </w:p>
    <w:p>
      <w:pPr>
        <w:pStyle w:val="Normal"/>
        <w:rPr/>
      </w:pPr>
      <w:r>
        <w:rPr/>
      </w:r>
    </w:p>
    <w:p>
      <w:pPr>
        <w:pStyle w:val="Normal"/>
        <w:rPr/>
      </w:pPr>
      <w:r>
        <w:rPr/>
        <w:t xml:space="preserve">Objectifs : </w:t>
      </w:r>
    </w:p>
    <w:p>
      <w:pPr>
        <w:pStyle w:val="ListParagraph"/>
        <w:numPr>
          <w:ilvl w:val="0"/>
          <w:numId w:val="7"/>
        </w:numPr>
        <w:spacing w:before="0" w:after="0"/>
        <w:contextualSpacing/>
        <w:rPr>
          <w:rFonts w:ascii="Times New Roman" w:hAnsi="Times New Roman"/>
          <w:sz w:val="24"/>
          <w:szCs w:val="24"/>
        </w:rPr>
      </w:pPr>
      <w:r>
        <w:rPr>
          <w:rFonts w:ascii="Times New Roman" w:hAnsi="Times New Roman"/>
          <w:sz w:val="24"/>
          <w:szCs w:val="24"/>
        </w:rPr>
        <w:t>Utiliser un simulateur pour déterminer effectuer un suivi pH-métrique</w:t>
      </w:r>
    </w:p>
    <w:p>
      <w:pPr>
        <w:pStyle w:val="ListParagraph"/>
        <w:numPr>
          <w:ilvl w:val="0"/>
          <w:numId w:val="7"/>
        </w:numPr>
        <w:spacing w:before="0" w:after="0"/>
        <w:contextualSpacing/>
        <w:rPr>
          <w:rFonts w:ascii="Times New Roman" w:hAnsi="Times New Roman"/>
          <w:sz w:val="24"/>
          <w:szCs w:val="24"/>
        </w:rPr>
      </w:pPr>
      <w:r>
        <w:rPr>
          <w:rFonts w:ascii="Times New Roman" w:hAnsi="Times New Roman"/>
          <w:sz w:val="24"/>
          <w:szCs w:val="24"/>
        </w:rPr>
        <w:t xml:space="preserve">Déterminer le degré d’acidité de 3 vinaigres </w:t>
      </w:r>
    </w:p>
    <w:p>
      <w:pPr>
        <w:pStyle w:val="ListParagraph"/>
        <w:numPr>
          <w:ilvl w:val="0"/>
          <w:numId w:val="7"/>
        </w:numPr>
        <w:spacing w:before="0" w:after="0"/>
        <w:contextualSpacing/>
        <w:rPr>
          <w:rFonts w:ascii="Times New Roman" w:hAnsi="Times New Roman"/>
          <w:sz w:val="24"/>
          <w:szCs w:val="24"/>
        </w:rPr>
      </w:pPr>
      <w:r>
        <w:rPr>
          <w:rFonts w:ascii="Times New Roman" w:hAnsi="Times New Roman"/>
          <w:sz w:val="24"/>
          <w:szCs w:val="24"/>
        </w:rPr>
        <w:t>Justifier le choix d’un bon indicateur</w:t>
      </w:r>
    </w:p>
    <w:p>
      <w:pPr>
        <w:pStyle w:val="Normal"/>
        <w:rPr/>
      </w:pPr>
      <w:r>
        <w:rPr/>
        <w:t>L’élève peut être amené à réaliser un compte rendu. La démarche est volontairement directive.</w:t>
      </w:r>
    </w:p>
    <w:p>
      <w:pPr>
        <w:pStyle w:val="Normal"/>
        <w:rPr/>
      </w:pPr>
      <w:r>
        <w:rPr/>
      </w:r>
    </w:p>
    <w:p>
      <w:pPr>
        <w:pStyle w:val="Normal"/>
        <w:rPr/>
      </w:pPr>
      <w:r>
        <w:rPr/>
        <w:t xml:space="preserve">Support : 1 simulateur libre </w:t>
      </w:r>
      <w:hyperlink r:id="rId2">
        <w:r>
          <w:rPr>
            <w:rStyle w:val="LienInternet"/>
            <w:rFonts w:cs="Arial" w:ascii="Arial" w:hAnsi="Arial"/>
            <w:b/>
            <w:bCs/>
            <w:sz w:val="22"/>
            <w:szCs w:val="22"/>
          </w:rPr>
          <w:t>https://physique-chimie.discip.ac-caen.fr/IMG/html/dosage_titrage.html</w:t>
        </w:r>
      </w:hyperlink>
    </w:p>
    <w:p>
      <w:pPr>
        <w:pStyle w:val="Normal"/>
        <w:rPr>
          <w:b/>
          <w:b/>
          <w:bCs/>
        </w:rPr>
      </w:pPr>
      <w:r>
        <w:rPr>
          <w:b/>
          <w:bCs/>
        </w:rPr>
      </w:r>
    </w:p>
    <w:p>
      <w:pPr>
        <w:pStyle w:val="Normal"/>
        <w:rPr>
          <w:b/>
          <w:b/>
          <w:bCs/>
          <w:u w:val="single"/>
        </w:rPr>
      </w:pPr>
      <w:r>
        <w:rPr>
          <w:b/>
          <w:bCs/>
          <w:u w:val="single"/>
        </w:rPr>
        <w:t>TP Cinétique (2 pages)</w:t>
      </w:r>
    </w:p>
    <w:p>
      <w:pPr>
        <w:pStyle w:val="Normal"/>
        <w:rPr/>
      </w:pPr>
      <w:r>
        <w:rPr/>
      </w:r>
    </w:p>
    <w:p>
      <w:pPr>
        <w:pStyle w:val="Normal"/>
        <w:rPr/>
      </w:pPr>
      <w:r>
        <w:rPr/>
        <w:t>Objectifs :</w:t>
      </w:r>
    </w:p>
    <w:p>
      <w:pPr>
        <w:pStyle w:val="ListParagraph"/>
        <w:numPr>
          <w:ilvl w:val="0"/>
          <w:numId w:val="6"/>
        </w:numPr>
        <w:spacing w:before="0" w:after="0"/>
        <w:contextualSpacing/>
        <w:rPr>
          <w:rFonts w:ascii="Times New Roman" w:hAnsi="Times New Roman"/>
          <w:sz w:val="24"/>
          <w:szCs w:val="24"/>
        </w:rPr>
      </w:pPr>
      <w:r>
        <w:rPr>
          <w:rFonts w:ascii="Times New Roman" w:hAnsi="Times New Roman"/>
          <w:sz w:val="24"/>
          <w:szCs w:val="24"/>
        </w:rPr>
        <w:t>Etablir l’état initial et final d’un système chimique</w:t>
      </w:r>
    </w:p>
    <w:p>
      <w:pPr>
        <w:pStyle w:val="ListParagraph"/>
        <w:numPr>
          <w:ilvl w:val="0"/>
          <w:numId w:val="6"/>
        </w:numPr>
        <w:spacing w:before="0" w:after="0"/>
        <w:contextualSpacing/>
        <w:rPr>
          <w:rFonts w:ascii="Times New Roman" w:hAnsi="Times New Roman"/>
          <w:sz w:val="24"/>
          <w:szCs w:val="24"/>
        </w:rPr>
      </w:pPr>
      <w:r>
        <w:rPr>
          <w:rFonts w:ascii="Times New Roman" w:hAnsi="Times New Roman"/>
          <w:sz w:val="24"/>
          <w:szCs w:val="24"/>
        </w:rPr>
        <w:t>Identifier les paramètres d’influence et les simuler</w:t>
      </w:r>
    </w:p>
    <w:p>
      <w:pPr>
        <w:pStyle w:val="ListParagraph"/>
        <w:numPr>
          <w:ilvl w:val="0"/>
          <w:numId w:val="6"/>
        </w:numPr>
        <w:spacing w:before="0" w:after="0"/>
        <w:contextualSpacing/>
        <w:rPr>
          <w:rFonts w:ascii="Times New Roman" w:hAnsi="Times New Roman"/>
          <w:sz w:val="24"/>
          <w:szCs w:val="24"/>
        </w:rPr>
      </w:pPr>
      <w:r>
        <w:rPr>
          <w:rFonts w:ascii="Times New Roman" w:hAnsi="Times New Roman"/>
          <w:sz w:val="24"/>
          <w:szCs w:val="24"/>
        </w:rPr>
        <w:t>Rechercher les raisons de cette influence</w:t>
      </w:r>
    </w:p>
    <w:p>
      <w:pPr>
        <w:pStyle w:val="ListParagraph"/>
        <w:numPr>
          <w:ilvl w:val="0"/>
          <w:numId w:val="6"/>
        </w:numPr>
        <w:spacing w:before="0" w:after="0"/>
        <w:contextualSpacing/>
        <w:rPr>
          <w:rFonts w:ascii="Times New Roman" w:hAnsi="Times New Roman"/>
          <w:sz w:val="24"/>
          <w:szCs w:val="24"/>
        </w:rPr>
      </w:pPr>
      <w:r>
        <w:rPr>
          <w:rFonts w:ascii="Times New Roman" w:hAnsi="Times New Roman"/>
          <w:sz w:val="24"/>
          <w:szCs w:val="24"/>
        </w:rPr>
        <w:t>Rôle de la catalyse</w:t>
      </w:r>
    </w:p>
    <w:p>
      <w:pPr>
        <w:pStyle w:val="Normal"/>
        <w:rPr/>
      </w:pPr>
      <w:r>
        <w:rPr/>
        <w:t>Supports : simulateurs divers libres et ressources simples en ligne ou livre</w:t>
      </w:r>
    </w:p>
    <w:p>
      <w:pPr>
        <w:pStyle w:val="NoSpacing"/>
        <w:numPr>
          <w:ilvl w:val="0"/>
          <w:numId w:val="2"/>
        </w:numPr>
        <w:rPr/>
      </w:pPr>
      <w:hyperlink r:id="rId3">
        <w:r>
          <w:rPr>
            <w:rStyle w:val="LienInternet"/>
            <w:sz w:val="24"/>
            <w:szCs w:val="24"/>
          </w:rPr>
          <w:t>http://scphysiques.free.fr/TS/chimieTS/vitesse.swf</w:t>
        </w:r>
      </w:hyperlink>
    </w:p>
    <w:p>
      <w:pPr>
        <w:pStyle w:val="Normal"/>
        <w:numPr>
          <w:ilvl w:val="0"/>
          <w:numId w:val="2"/>
        </w:numPr>
        <w:jc w:val="both"/>
        <w:rPr/>
      </w:pPr>
      <w:r>
        <w:rPr>
          <w:sz w:val="22"/>
          <w:szCs w:val="22"/>
        </w:rPr>
        <w:t> </w:t>
      </w:r>
      <w:hyperlink r:id="rId4" w:tgtFrame="_blank">
        <w:r>
          <w:rPr>
            <w:rStyle w:val="LienInternet"/>
            <w:sz w:val="22"/>
            <w:szCs w:val="22"/>
          </w:rPr>
          <w:t>https://www.edumedia-sciences.com/fr/media/564-facteur-cinetique</w:t>
        </w:r>
      </w:hyperlink>
      <w:r>
        <w:rPr>
          <w:sz w:val="22"/>
          <w:szCs w:val="22"/>
        </w:rPr>
        <w:t> (accès illimité chez edumédia durant la crise : nom : covid19, mdp : edumedia)</w:t>
      </w:r>
    </w:p>
    <w:p>
      <w:pPr>
        <w:pStyle w:val="Normal"/>
        <w:numPr>
          <w:ilvl w:val="0"/>
          <w:numId w:val="2"/>
        </w:numPr>
        <w:jc w:val="both"/>
        <w:rPr/>
      </w:pPr>
      <w:hyperlink r:id="rId5">
        <w:r>
          <w:rPr>
            <w:rStyle w:val="LienInternet"/>
            <w:sz w:val="22"/>
            <w:szCs w:val="22"/>
          </w:rPr>
          <w:t>http://pccl.fr/physique_chimie_college_lycee/lycee/terminale_TS/facteur_cinetique_temperature.htm</w:t>
        </w:r>
      </w:hyperlink>
    </w:p>
    <w:p>
      <w:pPr>
        <w:pStyle w:val="Normal"/>
        <w:numPr>
          <w:ilvl w:val="0"/>
          <w:numId w:val="2"/>
        </w:numPr>
        <w:jc w:val="both"/>
        <w:rPr/>
      </w:pPr>
      <w:hyperlink r:id="rId6">
        <w:r>
          <w:rPr>
            <w:rStyle w:val="LienInternet"/>
            <w:sz w:val="22"/>
            <w:szCs w:val="22"/>
          </w:rPr>
          <w:t>http://pccl.fr/physique_chimie_college_lycee/lycee/terminale_TS/facteur_cinetique_concentration.htm</w:t>
        </w:r>
      </w:hyperlink>
    </w:p>
    <w:p>
      <w:pPr>
        <w:pStyle w:val="Normal"/>
        <w:rPr>
          <w:b/>
          <w:b/>
          <w:bCs/>
          <w:sz w:val="22"/>
          <w:szCs w:val="22"/>
        </w:rPr>
      </w:pPr>
      <w:r>
        <w:rPr>
          <w:b/>
          <w:bCs/>
          <w:sz w:val="22"/>
          <w:szCs w:val="22"/>
        </w:rPr>
        <w:t xml:space="preserve">Cours </w:t>
      </w:r>
    </w:p>
    <w:p>
      <w:pPr>
        <w:pStyle w:val="Normal"/>
        <w:numPr>
          <w:ilvl w:val="0"/>
          <w:numId w:val="2"/>
        </w:numPr>
        <w:jc w:val="both"/>
        <w:rPr/>
      </w:pPr>
      <w:r>
        <w:rPr>
          <w:sz w:val="22"/>
          <w:szCs w:val="22"/>
        </w:rPr>
        <w:t xml:space="preserve">I. Tarride : </w:t>
      </w:r>
      <w:hyperlink r:id="rId7">
        <w:r>
          <w:rPr>
            <w:rStyle w:val="LienInternet"/>
            <w:sz w:val="22"/>
            <w:szCs w:val="22"/>
          </w:rPr>
          <w:t>https://www.youtube.com/watch?v=IoZvvk13vAg</w:t>
        </w:r>
      </w:hyperlink>
      <w:r>
        <w:rPr>
          <w:sz w:val="22"/>
          <w:szCs w:val="22"/>
        </w:rPr>
        <w:t xml:space="preserve"> (5 min)</w:t>
      </w:r>
    </w:p>
    <w:p>
      <w:pPr>
        <w:pStyle w:val="NoSpacing"/>
        <w:rPr>
          <w:b/>
          <w:b/>
          <w:bCs/>
          <w:sz w:val="24"/>
          <w:szCs w:val="24"/>
        </w:rPr>
      </w:pPr>
      <w:r>
        <w:rPr>
          <w:b/>
          <w:bCs/>
          <w:sz w:val="24"/>
          <w:szCs w:val="24"/>
        </w:rPr>
      </w:r>
    </w:p>
    <w:p>
      <w:pPr>
        <w:pStyle w:val="Normal"/>
        <w:rPr>
          <w:b/>
          <w:b/>
          <w:bCs/>
          <w:u w:val="single"/>
        </w:rPr>
      </w:pPr>
      <w:r>
        <w:rPr>
          <w:b/>
          <w:bCs/>
          <w:u w:val="single"/>
        </w:rPr>
        <w:t>TP Pendule simple, évolution temporelle (2 pages)</w:t>
      </w:r>
    </w:p>
    <w:p>
      <w:pPr>
        <w:pStyle w:val="Normal"/>
        <w:rPr/>
      </w:pPr>
      <w:r>
        <w:rPr/>
      </w:r>
    </w:p>
    <w:p>
      <w:pPr>
        <w:pStyle w:val="Normal"/>
        <w:rPr/>
      </w:pPr>
      <w:r>
        <w:rPr/>
        <w:t xml:space="preserve">Objectifs : </w:t>
      </w:r>
    </w:p>
    <w:p>
      <w:pPr>
        <w:pStyle w:val="Normal"/>
        <w:numPr>
          <w:ilvl w:val="0"/>
          <w:numId w:val="4"/>
        </w:numPr>
        <w:suppressAutoHyphens w:val="true"/>
        <w:spacing w:lineRule="auto" w:line="276"/>
        <w:rPr/>
      </w:pPr>
      <w:r>
        <w:rPr/>
        <w:t>mettre en évidence l’influence de différents paramètres sur la période d’un oscillateur mécanique</w:t>
      </w:r>
    </w:p>
    <w:p>
      <w:pPr>
        <w:pStyle w:val="Normal"/>
        <w:numPr>
          <w:ilvl w:val="0"/>
          <w:numId w:val="4"/>
        </w:numPr>
        <w:suppressAutoHyphens w:val="true"/>
        <w:spacing w:lineRule="auto" w:line="276"/>
        <w:rPr/>
      </w:pPr>
      <w:r>
        <w:rPr/>
        <w:t>faire usage d’un modèle animé</w:t>
      </w:r>
    </w:p>
    <w:p>
      <w:pPr>
        <w:pStyle w:val="Normal"/>
        <w:numPr>
          <w:ilvl w:val="0"/>
          <w:numId w:val="4"/>
        </w:numPr>
        <w:suppressAutoHyphens w:val="true"/>
        <w:spacing w:lineRule="auto" w:line="276"/>
        <w:rPr/>
      </w:pPr>
      <w:r>
        <w:rPr/>
        <w:t>mettre en œuvre une démarche expérimentale simple à la maison</w:t>
      </w:r>
    </w:p>
    <w:p>
      <w:pPr>
        <w:pStyle w:val="Normal"/>
        <w:numPr>
          <w:ilvl w:val="0"/>
          <w:numId w:val="4"/>
        </w:numPr>
        <w:suppressAutoHyphens w:val="true"/>
        <w:spacing w:lineRule="auto" w:line="276"/>
        <w:rPr/>
      </w:pPr>
      <w:r>
        <w:rPr/>
        <w:t xml:space="preserve">rechercher un modèle </w:t>
      </w:r>
    </w:p>
    <w:p>
      <w:pPr>
        <w:pStyle w:val="Normal"/>
        <w:rPr/>
      </w:pPr>
      <w:r>
        <w:rPr/>
        <w:t>Supports : 2 simulateurs libres</w:t>
      </w:r>
    </w:p>
    <w:p>
      <w:pPr>
        <w:pStyle w:val="Normal"/>
        <w:rPr/>
      </w:pPr>
      <w:r>
        <w:rPr>
          <w:bCs/>
        </w:rPr>
        <w:t xml:space="preserve">Site de M. Labatut : </w:t>
      </w:r>
      <w:hyperlink r:id="rId8">
        <w:r>
          <w:rPr>
            <w:rStyle w:val="LienInternet"/>
            <w:bCs/>
          </w:rPr>
          <w:t>http://scphysiques.free.fr/animations/animations.htm</w:t>
        </w:r>
      </w:hyperlink>
    </w:p>
    <w:p>
      <w:pPr>
        <w:pStyle w:val="Normal"/>
        <w:rPr>
          <w:bCs/>
        </w:rPr>
      </w:pPr>
      <w:r>
        <w:rPr>
          <w:bCs/>
        </w:rPr>
        <w:t>Sélectionner dans la page : Mécanique/Oscillateurs/pendule simple avec ou sans frottements</w:t>
      </w:r>
    </w:p>
    <w:p>
      <w:pPr>
        <w:pStyle w:val="Normal"/>
        <w:rPr/>
      </w:pPr>
      <w:r>
        <w:rPr>
          <w:bCs/>
        </w:rPr>
        <w:t xml:space="preserve">Site de pH Et : </w:t>
      </w:r>
      <w:hyperlink r:id="rId9">
        <w:r>
          <w:rPr>
            <w:rStyle w:val="LienInternet"/>
            <w:bCs/>
          </w:rPr>
          <w:t>https://phet.colorado.edu/sims/html/pendulum-lab/latest/pendulum-lab_fr.html</w:t>
        </w:r>
      </w:hyperlink>
    </w:p>
    <w:p>
      <w:pPr>
        <w:pStyle w:val="Normal"/>
        <w:suppressAutoHyphens w:val="true"/>
        <w:spacing w:lineRule="auto" w:line="276"/>
        <w:rPr/>
      </w:pPr>
      <w:r>
        <w:rPr/>
      </w:r>
    </w:p>
    <w:p>
      <w:pPr>
        <w:pStyle w:val="Normal"/>
        <w:suppressAutoHyphens w:val="true"/>
        <w:spacing w:lineRule="auto" w:line="276"/>
        <w:rPr>
          <w:b/>
          <w:b/>
          <w:bCs/>
          <w:u w:val="single"/>
        </w:rPr>
      </w:pPr>
      <w:r>
        <w:rPr>
          <w:b/>
          <w:bCs/>
          <w:u w:val="single"/>
        </w:rPr>
        <w:t>TP Pendule simple et évolution énergétique (1 page)</w:t>
      </w:r>
    </w:p>
    <w:p>
      <w:pPr>
        <w:pStyle w:val="Normal"/>
        <w:rPr>
          <w:iCs/>
        </w:rPr>
      </w:pPr>
      <w:r>
        <w:rPr>
          <w:iCs/>
        </w:rPr>
        <w:t>Objectifs</w:t>
      </w:r>
    </w:p>
    <w:p>
      <w:pPr>
        <w:pStyle w:val="Normal"/>
        <w:numPr>
          <w:ilvl w:val="0"/>
          <w:numId w:val="5"/>
        </w:numPr>
        <w:suppressAutoHyphens w:val="true"/>
        <w:spacing w:lineRule="auto" w:line="276"/>
        <w:rPr>
          <w:iCs/>
        </w:rPr>
      </w:pPr>
      <w:r>
        <w:rPr>
          <w:iCs/>
        </w:rPr>
        <w:t>Pratiquer une démarche expérimentale pour étudier l’évolution des énergies cinétique, potentielle et mécanique d’un oscillateur.</w:t>
      </w:r>
    </w:p>
    <w:p>
      <w:pPr>
        <w:pStyle w:val="Normal"/>
        <w:numPr>
          <w:ilvl w:val="0"/>
          <w:numId w:val="5"/>
        </w:numPr>
        <w:suppressAutoHyphens w:val="true"/>
        <w:spacing w:lineRule="auto" w:line="276"/>
        <w:rPr>
          <w:iCs/>
        </w:rPr>
      </w:pPr>
      <w:r>
        <w:rPr>
          <w:iCs/>
        </w:rPr>
        <w:t>Cas d’un pendule idéal</w:t>
      </w:r>
    </w:p>
    <w:p>
      <w:pPr>
        <w:pStyle w:val="Normal"/>
        <w:numPr>
          <w:ilvl w:val="0"/>
          <w:numId w:val="5"/>
        </w:numPr>
        <w:suppressAutoHyphens w:val="true"/>
        <w:spacing w:lineRule="auto" w:line="276"/>
        <w:rPr>
          <w:iCs/>
        </w:rPr>
      </w:pPr>
      <w:r>
        <w:rPr>
          <w:iCs/>
        </w:rPr>
        <w:t>Cas d’un pendule réel</w:t>
      </w:r>
    </w:p>
    <w:p>
      <w:pPr>
        <w:pStyle w:val="Normal"/>
        <w:rPr/>
      </w:pPr>
      <w:r>
        <w:rPr/>
        <w:t>Supports : 2 simulateurs libres identiques au précédent</w:t>
      </w:r>
    </w:p>
    <w:p>
      <w:pPr>
        <w:pStyle w:val="Normal"/>
        <w:suppressAutoHyphens w:val="true"/>
        <w:spacing w:lineRule="auto" w:line="276" w:before="0" w:after="200"/>
        <w:rPr>
          <w:rFonts w:ascii="Calibri Light" w:hAnsi="Calibri Light" w:cs="Calibri Light"/>
          <w:iCs/>
        </w:rPr>
      </w:pPr>
      <w:r>
        <w:rPr>
          <w:rFonts w:cs="Calibri Light" w:ascii="Calibri Light" w:hAnsi="Calibri Light"/>
          <w:iCs/>
        </w:rPr>
      </w:r>
    </w:p>
    <w:p>
      <w:pPr>
        <w:pStyle w:val="Normal"/>
        <w:jc w:val="center"/>
        <w:rPr>
          <w:b/>
          <w:b/>
          <w:bCs/>
        </w:rPr>
      </w:pPr>
      <w:r>
        <w:rPr>
          <w:b/>
          <w:bCs/>
        </w:rPr>
        <w:t>Dosage par titrage pH-métrique d’un vinaigre</w:t>
      </w:r>
    </w:p>
    <w:p>
      <w:pPr>
        <w:pStyle w:val="Normal"/>
        <w:rPr>
          <w:b/>
          <w:b/>
        </w:rPr>
      </w:pPr>
      <w:r>
        <w:rPr>
          <w:b/>
        </w:rPr>
      </w:r>
    </w:p>
    <w:p>
      <w:pPr>
        <w:pStyle w:val="Normal"/>
        <w:rPr>
          <w:rFonts w:ascii="Arial" w:hAnsi="Arial" w:cs="Arial"/>
          <w:b/>
          <w:b/>
          <w:bCs/>
          <w:iCs/>
          <w:sz w:val="22"/>
          <w:szCs w:val="22"/>
        </w:rPr>
      </w:pPr>
      <w:r>
        <w:rPr>
          <w:rFonts w:cs="Arial" w:ascii="Arial" w:hAnsi="Arial"/>
          <w:b/>
          <w:bCs/>
          <w:iCs/>
          <w:sz w:val="22"/>
          <w:szCs w:val="22"/>
          <w:u w:val="single"/>
        </w:rPr>
        <w:t>Contexte</w:t>
      </w:r>
    </w:p>
    <w:p>
      <w:pPr>
        <w:pStyle w:val="Normal"/>
        <w:rPr>
          <w:rFonts w:ascii="Arial" w:hAnsi="Arial" w:cs="Arial"/>
          <w:b/>
          <w:b/>
          <w:bCs/>
          <w:iCs/>
          <w:sz w:val="22"/>
          <w:szCs w:val="22"/>
        </w:rPr>
      </w:pPr>
      <w:r>
        <w:rPr>
          <w:rFonts w:cs="Arial" w:ascii="Arial" w:hAnsi="Arial"/>
          <w:b/>
          <w:bCs/>
          <w:iCs/>
          <w:sz w:val="22"/>
          <w:szCs w:val="22"/>
        </w:rPr>
        <w:drawing>
          <wp:anchor behindDoc="0" distT="0" distB="0" distL="114300" distR="116840" simplePos="0" locked="0" layoutInCell="1" allowOverlap="1" relativeHeight="3">
            <wp:simplePos x="0" y="0"/>
            <wp:positionH relativeFrom="column">
              <wp:posOffset>5976620</wp:posOffset>
            </wp:positionH>
            <wp:positionV relativeFrom="paragraph">
              <wp:posOffset>11430</wp:posOffset>
            </wp:positionV>
            <wp:extent cx="892810" cy="1111885"/>
            <wp:effectExtent l="0" t="0" r="0" b="0"/>
            <wp:wrapSquare wrapText="bothSides"/>
            <wp:docPr id="1" name="Image 1" descr="http://2.bp.blogspot.com/-wJdBwjGgS9M/Tp_p8o9NarI/AAAAAAAADJc/WeCYwfGsga8/s1600/vinaigre_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http://2.bp.blogspot.com/-wJdBwjGgS9M/Tp_p8o9NarI/AAAAAAAADJc/WeCYwfGsga8/s1600/vinaigre_gr.jpg"/>
                    <pic:cNvPicPr>
                      <a:picLocks noChangeAspect="1" noChangeArrowheads="1"/>
                    </pic:cNvPicPr>
                  </pic:nvPicPr>
                  <pic:blipFill>
                    <a:blip r:embed="rId10"/>
                    <a:stretch>
                      <a:fillRect/>
                    </a:stretch>
                  </pic:blipFill>
                  <pic:spPr bwMode="auto">
                    <a:xfrm>
                      <a:off x="0" y="0"/>
                      <a:ext cx="892810" cy="1111885"/>
                    </a:xfrm>
                    <a:prstGeom prst="rect">
                      <a:avLst/>
                    </a:prstGeom>
                  </pic:spPr>
                </pic:pic>
              </a:graphicData>
            </a:graphic>
          </wp:anchor>
        </w:drawing>
      </w:r>
    </w:p>
    <w:p>
      <w:pPr>
        <w:pStyle w:val="Normal"/>
        <w:rPr>
          <w:rFonts w:ascii="Arial" w:hAnsi="Arial" w:cs="Arial"/>
          <w:bCs/>
          <w:iCs/>
          <w:sz w:val="22"/>
          <w:szCs w:val="22"/>
        </w:rPr>
      </w:pPr>
      <w:r>
        <w:rPr>
          <w:rFonts w:cs="Arial" w:ascii="Arial" w:hAnsi="Arial"/>
          <w:bCs/>
          <w:iCs/>
          <w:sz w:val="22"/>
          <w:szCs w:val="22"/>
        </w:rPr>
        <w:t>Le vinaigre résulte de l’oxydation du vin ou des liquides alcoolisés par le dioxygène de l’air en présence de catalyseurs enzymatiques. Le principal produit de cette oxydation de l’éthanol est l’acide éthanoïque ou acétique, il se forme d’autres acides en très petite quantité, sans influence.</w:t>
        <w:br/>
        <w:t xml:space="preserve">On définit en Europe </w:t>
      </w:r>
      <w:r>
        <w:rPr>
          <w:rFonts w:cs="Arial" w:ascii="Arial" w:hAnsi="Arial"/>
          <w:bCs/>
          <w:i/>
          <w:iCs/>
          <w:sz w:val="22"/>
          <w:szCs w:val="22"/>
          <w:u w:val="single"/>
        </w:rPr>
        <w:t>le degré d’acidité du vinaigre</w:t>
      </w:r>
      <w:r>
        <w:rPr>
          <w:rFonts w:cs="Arial" w:ascii="Arial" w:hAnsi="Arial"/>
          <w:bCs/>
          <w:iCs/>
          <w:sz w:val="22"/>
          <w:szCs w:val="22"/>
        </w:rPr>
        <w:t xml:space="preserve">  comme étant </w:t>
      </w:r>
      <w:r>
        <w:rPr>
          <w:rFonts w:cs="Arial" w:ascii="Arial" w:hAnsi="Arial"/>
          <w:bCs/>
          <w:i/>
          <w:iCs/>
          <w:sz w:val="22"/>
          <w:szCs w:val="22"/>
          <w:u w:val="single"/>
        </w:rPr>
        <w:t>la masse en grammes d’acide acétique dans 100 g de ce vinaigre</w:t>
      </w:r>
      <w:r>
        <w:rPr>
          <w:rFonts w:cs="Arial" w:ascii="Arial" w:hAnsi="Arial"/>
          <w:bCs/>
          <w:iCs/>
          <w:sz w:val="22"/>
          <w:szCs w:val="22"/>
        </w:rPr>
        <w:t xml:space="preserve"> (environ 100 mL), exprimée en %.</w:t>
      </w:r>
    </w:p>
    <w:p>
      <w:pPr>
        <w:pStyle w:val="Normal"/>
        <w:rPr>
          <w:rFonts w:ascii="Arial" w:hAnsi="Arial" w:cs="Arial"/>
          <w:b/>
          <w:b/>
          <w:color w:val="008080"/>
        </w:rPr>
      </w:pPr>
      <w:r>
        <w:rPr>
          <w:rFonts w:cs="Arial" w:ascii="Arial" w:hAnsi="Arial"/>
          <w:b/>
          <w:color w:val="008080"/>
        </w:rPr>
      </w:r>
    </w:p>
    <w:tbl>
      <w:tblPr>
        <w:tblW w:w="10803" w:type="dxa"/>
        <w:jc w:val="left"/>
        <w:tblInd w:w="0"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0803"/>
      </w:tblGrid>
      <w:tr>
        <w:trPr>
          <w:trHeight w:val="547" w:hRule="atLeast"/>
        </w:trPr>
        <w:tc>
          <w:tcPr>
            <w:tcW w:w="10803"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rPr>
                <w:rFonts w:ascii="Arial" w:hAnsi="Arial" w:cs="Arial"/>
                <w:b/>
                <w:b/>
                <w:color w:val="008080"/>
              </w:rPr>
            </w:pPr>
            <w:r>
              <w:rPr>
                <w:rFonts w:cs="Arial" w:ascii="Arial" w:hAnsi="Arial"/>
                <w:b/>
                <w:color w:val="008080"/>
              </w:rPr>
              <w:t>Document 1 : Les indicateurs colorés acido-basiques</w:t>
            </w:r>
          </w:p>
          <w:p>
            <w:pPr>
              <w:pStyle w:val="Normal"/>
              <w:rPr>
                <w:rFonts w:ascii="Arial" w:hAnsi="Arial" w:cs="Arial"/>
                <w:color w:val="008080"/>
              </w:rPr>
            </w:pPr>
            <w:r>
              <w:rPr>
                <w:rFonts w:cs="Arial" w:ascii="Arial" w:hAnsi="Arial"/>
                <w:color w:val="008080"/>
              </w:rPr>
              <w:t>(couple acide/base dont les deux espèces n’ont pas la même teinte).</w:t>
            </w:r>
          </w:p>
          <w:p>
            <w:pPr>
              <w:pStyle w:val="Normal"/>
              <w:rPr>
                <w:rFonts w:ascii="Arial" w:hAnsi="Arial" w:cs="Arial"/>
                <w:b/>
                <w:b/>
                <w:color w:val="008080"/>
              </w:rPr>
            </w:pPr>
            <w:r>
              <w:rPr>
                <w:rFonts w:cs="Arial" w:ascii="Arial" w:hAnsi="Arial"/>
                <w:b/>
                <w:color w:val="008080"/>
              </w:rPr>
            </w:r>
          </w:p>
          <w:tbl>
            <w:tblPr>
              <w:tblW w:w="8622" w:type="dxa"/>
              <w:jc w:val="left"/>
              <w:tblInd w:w="12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2671"/>
              <w:gridCol w:w="1699"/>
              <w:gridCol w:w="1700"/>
              <w:gridCol w:w="1"/>
              <w:gridCol w:w="2550"/>
            </w:tblGrid>
            <w:tr>
              <w:trPr>
                <w:trHeight w:val="97" w:hRule="atLeast"/>
              </w:trPr>
              <w:tc>
                <w:tcPr>
                  <w:tcW w:w="267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indicateur</w:t>
                  </w:r>
                </w:p>
              </w:tc>
              <w:tc>
                <w:tcPr>
                  <w:tcW w:w="339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couleur</w:t>
                  </w:r>
                </w:p>
              </w:tc>
              <w:tc>
                <w:tcPr>
                  <w:tcW w:w="2551"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Zone de virage</w:t>
                  </w:r>
                </w:p>
              </w:tc>
            </w:tr>
            <w:tr>
              <w:trPr>
                <w:trHeight w:val="96" w:hRule="atLeast"/>
              </w:trPr>
              <w:tc>
                <w:tcPr>
                  <w:tcW w:w="267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r>
                </w:p>
              </w:tc>
              <w:tc>
                <w:tcPr>
                  <w:tcW w:w="1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Forme acide</w:t>
                  </w:r>
                </w:p>
              </w:tc>
              <w:tc>
                <w:tcPr>
                  <w:tcW w:w="1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Forme basique</w:t>
                  </w:r>
                </w:p>
              </w:tc>
              <w:tc>
                <w:tcPr>
                  <w:tcW w:w="255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r>
                </w:p>
              </w:tc>
            </w:tr>
            <w:tr>
              <w:trPr/>
              <w:tc>
                <w:tcPr>
                  <w:tcW w:w="26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Hélianthine</w:t>
                  </w:r>
                </w:p>
              </w:tc>
              <w:tc>
                <w:tcPr>
                  <w:tcW w:w="1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Rouge</w:t>
                  </w:r>
                </w:p>
              </w:tc>
              <w:tc>
                <w:tcPr>
                  <w:tcW w:w="1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Jaune</w:t>
                  </w:r>
                </w:p>
              </w:tc>
              <w:tc>
                <w:tcPr>
                  <w:tcW w:w="2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3,1 – 4,4</w:t>
                  </w:r>
                </w:p>
              </w:tc>
            </w:tr>
            <w:tr>
              <w:trPr/>
              <w:tc>
                <w:tcPr>
                  <w:tcW w:w="26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Rouge de méthyle</w:t>
                  </w:r>
                </w:p>
              </w:tc>
              <w:tc>
                <w:tcPr>
                  <w:tcW w:w="1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Jaune</w:t>
                  </w:r>
                </w:p>
              </w:tc>
              <w:tc>
                <w:tcPr>
                  <w:tcW w:w="1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Rouge</w:t>
                  </w:r>
                </w:p>
              </w:tc>
              <w:tc>
                <w:tcPr>
                  <w:tcW w:w="2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4,8 – 6,0</w:t>
                  </w:r>
                </w:p>
              </w:tc>
            </w:tr>
            <w:tr>
              <w:trPr/>
              <w:tc>
                <w:tcPr>
                  <w:tcW w:w="26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Bleu de Bromothymol</w:t>
                  </w:r>
                </w:p>
              </w:tc>
              <w:tc>
                <w:tcPr>
                  <w:tcW w:w="1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Jaune</w:t>
                  </w:r>
                </w:p>
              </w:tc>
              <w:tc>
                <w:tcPr>
                  <w:tcW w:w="1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Bleu</w:t>
                  </w:r>
                </w:p>
              </w:tc>
              <w:tc>
                <w:tcPr>
                  <w:tcW w:w="2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6,0 – 7,6</w:t>
                  </w:r>
                </w:p>
              </w:tc>
            </w:tr>
            <w:tr>
              <w:trPr/>
              <w:tc>
                <w:tcPr>
                  <w:tcW w:w="26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Phénolphtaléine</w:t>
                  </w:r>
                </w:p>
              </w:tc>
              <w:tc>
                <w:tcPr>
                  <w:tcW w:w="1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Incolore</w:t>
                  </w:r>
                </w:p>
              </w:tc>
              <w:tc>
                <w:tcPr>
                  <w:tcW w:w="1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Rose</w:t>
                  </w:r>
                </w:p>
              </w:tc>
              <w:tc>
                <w:tcPr>
                  <w:tcW w:w="2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center"/>
                    <w:rPr>
                      <w:rFonts w:ascii="Arial" w:hAnsi="Arial" w:cs="Arial"/>
                      <w:sz w:val="18"/>
                      <w:szCs w:val="18"/>
                    </w:rPr>
                  </w:pPr>
                  <w:r>
                    <w:rPr>
                      <w:rFonts w:cs="Arial" w:ascii="Arial" w:hAnsi="Arial"/>
                      <w:sz w:val="18"/>
                      <w:szCs w:val="18"/>
                    </w:rPr>
                    <w:t>8,2 – 10,0</w:t>
                  </w:r>
                </w:p>
              </w:tc>
            </w:tr>
          </w:tbl>
          <w:p>
            <w:pPr>
              <w:pStyle w:val="Normal"/>
              <w:rPr>
                <w:rFonts w:ascii="Bookman Old Style" w:hAnsi="Bookman Old Style" w:eastAsia="Calibri"/>
                <w:b/>
                <w:b/>
                <w:color w:val="FF0000"/>
                <w:sz w:val="22"/>
                <w:szCs w:val="22"/>
                <w:lang w:eastAsia="en-US"/>
              </w:rPr>
            </w:pPr>
            <w:r>
              <w:rPr>
                <w:rFonts w:eastAsia="Calibri" w:ascii="Bookman Old Style" w:hAnsi="Bookman Old Style"/>
                <w:b/>
                <w:color w:val="FF0000"/>
                <w:sz w:val="22"/>
                <w:szCs w:val="22"/>
                <w:lang w:eastAsia="en-US"/>
              </w:rPr>
            </w:r>
          </w:p>
        </w:tc>
      </w:tr>
      <w:tr>
        <w:trPr>
          <w:trHeight w:val="1170" w:hRule="atLeast"/>
        </w:trPr>
        <w:tc>
          <w:tcPr>
            <w:tcW w:w="1080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Un indicateur coloré acido-basique peut être utilisé pour repérer l’équivalence lors d’un titrage acido-basique. Il doit dans ce cas avoir une zone de virage qui contient le pH à l’équivalence pH</w:t>
            </w:r>
            <w:r>
              <w:rPr>
                <w:rFonts w:cs="Arial" w:ascii="Arial" w:hAnsi="Arial"/>
                <w:sz w:val="22"/>
                <w:szCs w:val="22"/>
                <w:vertAlign w:val="subscript"/>
              </w:rPr>
              <w:t>E</w:t>
            </w:r>
            <w:r>
              <w:rPr>
                <w:rFonts w:cs="Arial" w:ascii="Arial" w:hAnsi="Arial"/>
                <w:sz w:val="22"/>
                <w:szCs w:val="22"/>
              </w:rPr>
              <w:t>. L’équivalence est alors repérée par le changement de teinte de l‘indicateur coloré.</w:t>
            </w:r>
          </w:p>
          <w:p>
            <w:pPr>
              <w:pStyle w:val="Normal"/>
              <w:jc w:val="both"/>
              <w:rPr>
                <w:rFonts w:ascii="Arial" w:hAnsi="Arial" w:cs="Arial"/>
                <w:sz w:val="20"/>
                <w:szCs w:val="20"/>
              </w:rPr>
            </w:pPr>
            <w:r>
              <w:rPr>
                <w:rFonts w:cs="Arial" w:ascii="Arial" w:hAnsi="Arial"/>
                <w:sz w:val="20"/>
                <w:szCs w:val="20"/>
              </w:rPr>
            </w:r>
          </w:p>
        </w:tc>
      </w:tr>
    </w:tbl>
    <w:p>
      <w:pPr>
        <w:pStyle w:val="Normal"/>
        <w:rPr>
          <w:rFonts w:ascii="Arial" w:hAnsi="Arial" w:cs="Arial"/>
          <w:b/>
          <w:b/>
          <w:color w:val="008080"/>
        </w:rPr>
      </w:pPr>
      <w:r>
        <w:rPr>
          <w:rFonts w:cs="Arial" w:ascii="Arial" w:hAnsi="Arial"/>
          <w:b/>
          <w:color w:val="008080"/>
        </w:rPr>
      </w:r>
    </w:p>
    <w:tbl>
      <w:tblPr>
        <w:tblpPr w:bottomFromText="0" w:horzAnchor="margin" w:leftFromText="141" w:rightFromText="141" w:tblpX="0" w:tblpY="16" w:topFromText="0" w:vertAnchor="text"/>
        <w:tblW w:w="1076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0768"/>
      </w:tblGrid>
      <w:tr>
        <w:trPr>
          <w:trHeight w:val="2042" w:hRule="atLeast"/>
        </w:trPr>
        <w:tc>
          <w:tcPr>
            <w:tcW w:w="107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Arial" w:hAnsi="Arial" w:cs="Arial"/>
                <w:b/>
                <w:b/>
                <w:color w:val="008080"/>
              </w:rPr>
            </w:pPr>
            <w:r>
              <w:rPr>
                <w:rFonts w:cs="Arial" w:ascii="Arial" w:hAnsi="Arial"/>
                <w:b/>
                <w:color w:val="008080"/>
              </w:rPr>
              <w:t xml:space="preserve">Document 2 : Etat d’équivalence d’un système chimique </w:t>
            </w:r>
          </w:p>
          <w:p>
            <w:pPr>
              <w:pStyle w:val="Normal"/>
              <w:rPr>
                <w:rFonts w:ascii="Arial" w:hAnsi="Arial" w:cs="Arial"/>
                <w:b/>
                <w:b/>
                <w:color w:val="008080"/>
              </w:rPr>
            </w:pPr>
            <w:r>
              <w:rPr>
                <w:rFonts w:cs="Arial" w:ascii="Arial" w:hAnsi="Arial"/>
                <w:b/>
                <w:color w:val="008080"/>
              </w:rPr>
            </w:r>
          </w:p>
          <w:p>
            <w:pPr>
              <w:pStyle w:val="Normal"/>
              <w:rPr>
                <w:rFonts w:ascii="Arial" w:hAnsi="Arial" w:cs="Arial"/>
                <w:bCs/>
                <w:sz w:val="22"/>
                <w:szCs w:val="22"/>
              </w:rPr>
            </w:pPr>
            <w:r>
              <w:rPr>
                <w:rFonts w:cs="Arial" w:ascii="Arial" w:hAnsi="Arial"/>
                <w:bCs/>
                <w:sz w:val="22"/>
                <w:szCs w:val="22"/>
              </w:rPr>
              <w:t>Pour une transformation chimique, support d’un dosage dont l’équation bilan s’écrit :</w:t>
            </w:r>
          </w:p>
          <w:p>
            <w:pPr>
              <w:pStyle w:val="Normal"/>
              <w:jc w:val="center"/>
              <w:rPr>
                <w:rFonts w:ascii="Arial" w:hAnsi="Arial" w:cs="Arial"/>
                <w:bCs/>
                <w:sz w:val="22"/>
                <w:szCs w:val="22"/>
              </w:rPr>
            </w:pPr>
            <w:r>
              <w:rPr>
                <w:rFonts w:cs="Arial" w:ascii="Arial" w:hAnsi="Arial"/>
                <w:bCs/>
                <w:sz w:val="22"/>
                <w:szCs w:val="22"/>
              </w:rPr>
              <w:t>a A + b B → c C + d D</w:t>
            </w:r>
          </w:p>
          <w:p>
            <w:pPr>
              <w:pStyle w:val="Normal"/>
              <w:rPr>
                <w:rFonts w:ascii="Arial" w:hAnsi="Arial" w:cs="Arial"/>
                <w:bCs/>
                <w:sz w:val="22"/>
                <w:szCs w:val="22"/>
              </w:rPr>
            </w:pPr>
            <w:r>
              <w:rPr>
                <w:rFonts w:cs="Arial" w:ascii="Arial" w:hAnsi="Arial"/>
                <w:bCs/>
                <w:sz w:val="22"/>
                <w:szCs w:val="22"/>
              </w:rPr>
              <w:t>L’état d’équivalence du système est obtenu lorsque les réactifs sont introduits en proportions stœchiométriques. Ils sont alors intégralement consommés.</w:t>
            </w:r>
          </w:p>
          <w:p>
            <w:pPr>
              <w:pStyle w:val="Normal"/>
              <w:rPr>
                <w:rFonts w:ascii="Arial" w:hAnsi="Arial" w:cs="Arial"/>
                <w:bCs/>
                <w:sz w:val="22"/>
                <w:szCs w:val="22"/>
              </w:rPr>
            </w:pPr>
            <w:r>
              <w:rPr>
                <w:rFonts w:cs="Arial" w:ascii="Arial" w:hAnsi="Arial"/>
                <w:bCs/>
                <w:sz w:val="22"/>
                <w:szCs w:val="22"/>
              </w:rPr>
              <w:t>Si A est le réactif titré et B le réactif titrant, la relation entre la quantité de matière initiale de A et la quantité de B versée à l’équivalence s’écrit :   n</w:t>
            </w:r>
            <w:r>
              <w:rPr>
                <w:rFonts w:cs="Arial" w:ascii="Arial" w:hAnsi="Arial"/>
                <w:bCs/>
                <w:sz w:val="22"/>
                <w:szCs w:val="22"/>
                <w:vertAlign w:val="subscript"/>
              </w:rPr>
              <w:t xml:space="preserve">A initial </w:t>
            </w:r>
            <w:r>
              <w:rPr>
                <w:rFonts w:cs="Arial" w:ascii="Arial" w:hAnsi="Arial"/>
                <w:bCs/>
                <w:sz w:val="22"/>
                <w:szCs w:val="22"/>
              </w:rPr>
              <w:t>/ a = n</w:t>
            </w:r>
            <w:r>
              <w:rPr>
                <w:rFonts w:cs="Arial" w:ascii="Arial" w:hAnsi="Arial"/>
                <w:bCs/>
                <w:sz w:val="22"/>
                <w:szCs w:val="22"/>
                <w:vertAlign w:val="subscript"/>
              </w:rPr>
              <w:t xml:space="preserve">B équivalence </w:t>
            </w:r>
            <w:bookmarkStart w:id="0" w:name="_Hlk35505317"/>
            <w:bookmarkEnd w:id="0"/>
            <w:r>
              <w:rPr>
                <w:rFonts w:cs="Arial" w:ascii="Arial" w:hAnsi="Arial"/>
                <w:bCs/>
                <w:sz w:val="22"/>
                <w:szCs w:val="22"/>
              </w:rPr>
              <w:t>/ b</w:t>
            </w:r>
          </w:p>
          <w:p>
            <w:pPr>
              <w:pStyle w:val="Normal"/>
              <w:rPr>
                <w:rFonts w:ascii="Arial" w:hAnsi="Arial" w:cs="Arial"/>
                <w:b/>
                <w:b/>
                <w:bCs/>
                <w:sz w:val="20"/>
                <w:szCs w:val="20"/>
              </w:rPr>
            </w:pPr>
            <w:r>
              <w:rPr>
                <w:rFonts w:cs="Arial" w:ascii="Arial" w:hAnsi="Arial"/>
                <w:b/>
                <w:bCs/>
                <w:sz w:val="20"/>
                <w:szCs w:val="20"/>
              </w:rPr>
            </w:r>
          </w:p>
        </w:tc>
      </w:tr>
    </w:tbl>
    <w:p>
      <w:pPr>
        <w:pStyle w:val="Normal"/>
        <w:rPr>
          <w:rFonts w:ascii="Arial" w:hAnsi="Arial" w:cs="Arial"/>
          <w:bCs/>
          <w:sz w:val="20"/>
          <w:szCs w:val="20"/>
        </w:rPr>
      </w:pPr>
      <w:r>
        <mc:AlternateContent>
          <mc:Choice Requires="wps">
            <w:drawing>
              <wp:anchor behindDoc="0" distT="0" distB="0" distL="114300" distR="114300" simplePos="0" locked="0" layoutInCell="1" allowOverlap="1" relativeHeight="2" wp14:anchorId="25772E60">
                <wp:simplePos x="0" y="0"/>
                <wp:positionH relativeFrom="column">
                  <wp:posOffset>-15875</wp:posOffset>
                </wp:positionH>
                <wp:positionV relativeFrom="paragraph">
                  <wp:posOffset>1635760</wp:posOffset>
                </wp:positionV>
                <wp:extent cx="6858635" cy="2886710"/>
                <wp:effectExtent l="0" t="0" r="19050" b="28575"/>
                <wp:wrapNone/>
                <wp:docPr id="2" name="Rectangle 14"/>
                <a:graphic xmlns:a="http://schemas.openxmlformats.org/drawingml/2006/main">
                  <a:graphicData uri="http://schemas.microsoft.com/office/word/2010/wordprocessingShape">
                    <wps:wsp>
                      <wps:cNvSpPr/>
                      <wps:spPr>
                        <a:xfrm>
                          <a:off x="0" y="0"/>
                          <a:ext cx="6858000" cy="28861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tangle 14" stroked="t" style="position:absolute;margin-left:-1.25pt;margin-top:128.8pt;width:539.95pt;height:227.2pt" wp14:anchorId="25772E60">
                <w10:wrap type="none"/>
                <v:fill o:detectmouseclick="t" on="false"/>
                <v:stroke color="black" weight="12600" joinstyle="miter" endcap="flat"/>
              </v:rect>
            </w:pict>
          </mc:Fallback>
        </mc:AlternateContent>
      </w:r>
      <w:r>
        <w:rPr>
          <w:rFonts w:cs="Arial" w:ascii="Arial" w:hAnsi="Arial"/>
          <w:bCs/>
          <w:sz w:val="20"/>
          <w:szCs w:val="20"/>
        </w:rPr>
        <w:t xml:space="preserve">     </w:t>
      </w:r>
    </w:p>
    <w:p>
      <w:pPr>
        <w:pStyle w:val="Normal"/>
        <w:rPr>
          <w:rFonts w:ascii="Arial" w:hAnsi="Arial" w:cs="Arial"/>
          <w:b/>
          <w:b/>
          <w:color w:val="008080"/>
        </w:rPr>
      </w:pPr>
      <w:r>
        <w:rPr>
          <w:rFonts w:cs="Arial" w:ascii="Arial" w:hAnsi="Arial"/>
          <w:bCs/>
          <w:sz w:val="20"/>
          <w:szCs w:val="20"/>
        </w:rPr>
        <w:t xml:space="preserve"> </w:t>
      </w:r>
      <w:r>
        <w:rPr>
          <w:rFonts w:cs="Arial" w:ascii="Arial" w:hAnsi="Arial"/>
          <w:b/>
          <w:color w:val="008080"/>
        </w:rPr>
        <w:t>Document 3 : Comment repérer l’équivalence dans le cas d’un titrage pH-métrique</w:t>
      </w:r>
    </w:p>
    <w:p>
      <w:pPr>
        <w:pStyle w:val="Normal"/>
        <w:rPr>
          <w:rFonts w:ascii="Arial" w:hAnsi="Arial" w:cs="Arial"/>
          <w:b/>
          <w:b/>
          <w:color w:val="008080"/>
        </w:rPr>
      </w:pPr>
      <w:r>
        <w:rPr>
          <w:rFonts w:cs="Arial" w:ascii="Arial" w:hAnsi="Arial"/>
          <w:b/>
          <w:color w:val="008080"/>
        </w:rPr>
        <w:drawing>
          <wp:anchor behindDoc="0" distT="0" distB="0" distL="114300" distR="0" simplePos="0" locked="0" layoutInCell="1" allowOverlap="1" relativeHeight="4">
            <wp:simplePos x="0" y="0"/>
            <wp:positionH relativeFrom="margin">
              <wp:align>right</wp:align>
            </wp:positionH>
            <wp:positionV relativeFrom="paragraph">
              <wp:posOffset>62230</wp:posOffset>
            </wp:positionV>
            <wp:extent cx="1951990" cy="1586230"/>
            <wp:effectExtent l="0" t="0" r="0" b="0"/>
            <wp:wrapSquare wrapText="bothSides"/>
            <wp:docPr id="3" name="Image 3" descr="http://2.bp.blogspot.com/_sN5IxI8NII8/SgGaHyRPEgI/AAAAAAAAAIc/uIy11gfioIk/s400/methode-t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http://2.bp.blogspot.com/_sN5IxI8NII8/SgGaHyRPEgI/AAAAAAAAAIc/uIy11gfioIk/s400/methode-tan.gif"/>
                    <pic:cNvPicPr>
                      <a:picLocks noChangeAspect="1" noChangeArrowheads="1"/>
                    </pic:cNvPicPr>
                  </pic:nvPicPr>
                  <pic:blipFill>
                    <a:blip r:embed="rId11"/>
                    <a:stretch>
                      <a:fillRect/>
                    </a:stretch>
                  </pic:blipFill>
                  <pic:spPr bwMode="auto">
                    <a:xfrm>
                      <a:off x="0" y="0"/>
                      <a:ext cx="1951990" cy="1586230"/>
                    </a:xfrm>
                    <a:prstGeom prst="rect">
                      <a:avLst/>
                    </a:prstGeom>
                  </pic:spPr>
                </pic:pic>
              </a:graphicData>
            </a:graphic>
          </wp:anchor>
        </w:drawing>
      </w:r>
    </w:p>
    <w:p>
      <w:pPr>
        <w:pStyle w:val="Normal"/>
        <w:rPr>
          <w:rFonts w:ascii="Arial" w:hAnsi="Arial" w:cs="Arial"/>
          <w:bCs/>
          <w:sz w:val="20"/>
          <w:szCs w:val="20"/>
        </w:rPr>
      </w:pPr>
      <w:r>
        <w:rPr>
          <w:rFonts w:cs="Arial" w:ascii="Arial" w:hAnsi="Arial"/>
          <w:bCs/>
          <w:sz w:val="20"/>
          <w:szCs w:val="20"/>
        </w:rPr>
        <w:t xml:space="preserve">Lors d’un titrage pH-métrique, la brusque variation de pH du graphe </w:t>
      </w:r>
    </w:p>
    <w:p>
      <w:pPr>
        <w:pStyle w:val="Normal"/>
        <w:rPr>
          <w:rFonts w:ascii="Arial" w:hAnsi="Arial" w:cs="Arial"/>
          <w:bCs/>
          <w:sz w:val="20"/>
          <w:szCs w:val="20"/>
        </w:rPr>
      </w:pPr>
      <w:r>
        <w:rPr>
          <w:rFonts w:cs="Arial" w:ascii="Arial" w:hAnsi="Arial"/>
          <w:bCs/>
          <w:sz w:val="20"/>
          <w:szCs w:val="20"/>
        </w:rPr>
        <w:t>pH = f (V</w:t>
      </w:r>
      <w:r>
        <w:rPr>
          <w:rFonts w:cs="Arial" w:ascii="Arial" w:hAnsi="Arial"/>
          <w:bCs/>
          <w:sz w:val="20"/>
          <w:szCs w:val="20"/>
          <w:vertAlign w:val="subscript"/>
        </w:rPr>
        <w:t>réactif titrant</w:t>
      </w:r>
      <w:r>
        <w:rPr>
          <w:rFonts w:cs="Arial" w:ascii="Arial" w:hAnsi="Arial"/>
          <w:bCs/>
          <w:sz w:val="20"/>
          <w:szCs w:val="20"/>
        </w:rPr>
        <w:t xml:space="preserve">) permet de repérer l’équivalence. </w:t>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drawing>
          <wp:anchor behindDoc="0" distT="0" distB="7620" distL="114300" distR="114300" simplePos="0" locked="0" layoutInCell="1" allowOverlap="1" relativeHeight="5">
            <wp:simplePos x="0" y="0"/>
            <wp:positionH relativeFrom="column">
              <wp:posOffset>73660</wp:posOffset>
            </wp:positionH>
            <wp:positionV relativeFrom="paragraph">
              <wp:posOffset>7620</wp:posOffset>
            </wp:positionV>
            <wp:extent cx="1638935" cy="1764665"/>
            <wp:effectExtent l="0" t="0" r="0" b="0"/>
            <wp:wrapSquare wrapText="bothSides"/>
            <wp:docPr id="4" name="Image 6" descr="http://passeport.univ-lille1.fr/site/chimie/scc1034/C10dosab/C10dosab_web.publi/web/res/04_4_3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6" descr="http://passeport.univ-lille1.fr/site/chimie/scc1034/C10dosab/C10dosab_web.publi/web/res/04_4_3_image.jpg"/>
                    <pic:cNvPicPr>
                      <a:picLocks noChangeAspect="1" noChangeArrowheads="1"/>
                    </pic:cNvPicPr>
                  </pic:nvPicPr>
                  <pic:blipFill>
                    <a:blip r:embed="rId12"/>
                    <a:stretch>
                      <a:fillRect/>
                    </a:stretch>
                  </pic:blipFill>
                  <pic:spPr bwMode="auto">
                    <a:xfrm>
                      <a:off x="0" y="0"/>
                      <a:ext cx="1638935" cy="1764665"/>
                    </a:xfrm>
                    <a:prstGeom prst="rect">
                      <a:avLst/>
                    </a:prstGeom>
                  </pic:spPr>
                </pic:pic>
              </a:graphicData>
            </a:graphic>
          </wp:anchor>
        </w:drawing>
      </w:r>
    </w:p>
    <w:p>
      <w:pPr>
        <w:pStyle w:val="Normal"/>
        <w:jc w:val="right"/>
        <w:rPr>
          <w:rFonts w:ascii="Arial" w:hAnsi="Arial" w:cs="Arial"/>
          <w:bCs/>
          <w:sz w:val="20"/>
          <w:szCs w:val="20"/>
        </w:rPr>
      </w:pPr>
      <w:r>
        <w:rPr>
          <w:rFonts w:eastAsia="Wingdings" w:cs="Wingdings" w:ascii="Wingdings" w:hAnsi="Wingdings"/>
          <w:bCs/>
          <w:sz w:val="20"/>
          <w:szCs w:val="20"/>
        </w:rPr>
        <w:t></w:t>
      </w:r>
      <w:r>
        <w:rPr>
          <w:rFonts w:cs="Arial" w:ascii="Arial" w:hAnsi="Arial"/>
          <w:bCs/>
          <w:sz w:val="20"/>
          <w:szCs w:val="20"/>
        </w:rPr>
        <w:t xml:space="preserve"> </w:t>
      </w:r>
      <w:r>
        <w:rPr>
          <w:rFonts w:cs="Arial" w:ascii="Arial" w:hAnsi="Arial"/>
          <w:bCs/>
          <w:sz w:val="20"/>
          <w:szCs w:val="20"/>
        </w:rPr>
        <w:t xml:space="preserve">Méthode des tangentes parallèles : </w:t>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eastAsia="Wingdings" w:cs="Wingdings" w:ascii="Wingdings" w:hAnsi="Wingdings"/>
          <w:bCs/>
          <w:sz w:val="20"/>
          <w:szCs w:val="20"/>
        </w:rPr>
        <w:t></w:t>
      </w:r>
      <w:r>
        <w:rPr>
          <w:rFonts w:cs="Arial" w:ascii="Arial" w:hAnsi="Arial"/>
          <w:bCs/>
          <w:sz w:val="20"/>
          <w:szCs w:val="20"/>
        </w:rPr>
        <w:t xml:space="preserve"> </w:t>
      </w:r>
      <w:r>
        <w:rPr>
          <w:rFonts w:cs="Arial" w:ascii="Arial" w:hAnsi="Arial"/>
          <w:bCs/>
          <w:sz w:val="20"/>
          <w:szCs w:val="20"/>
        </w:rPr>
        <w:t xml:space="preserve">Méthodes de la courbe dérivée : l’équivalence du titrage correspond à l’extremum de la courbe dérivée </w:t>
      </w:r>
      <w:r>
        <w:rPr>
          <w:rFonts w:cs="Arial" w:ascii="Arial" w:hAnsi="Arial"/>
          <w:bCs/>
          <w:sz w:val="20"/>
          <w:szCs w:val="20"/>
        </w:rPr>
        <w:object>
          <v:shape id="ole_rId13" style="width:55.7pt;height:35.05pt" o:ole="">
            <v:imagedata r:id="rId14" o:title=""/>
          </v:shape>
          <o:OLEObject Type="Embed" ProgID="Equation.DSMT4" ShapeID="ole_rId13" DrawAspect="Content" ObjectID="_1569621508" r:id="rId13"/>
        </w:object>
      </w:r>
      <w:r>
        <w:rPr>
          <w:rFonts w:cs="Arial" w:ascii="Arial" w:hAnsi="Arial"/>
          <w:bCs/>
          <w:sz w:val="20"/>
          <w:szCs w:val="20"/>
        </w:rPr>
        <w:t xml:space="preserve"> = f ( V</w:t>
      </w:r>
      <w:r>
        <w:rPr>
          <w:rFonts w:cs="Arial" w:ascii="Arial" w:hAnsi="Arial"/>
          <w:bCs/>
          <w:sz w:val="20"/>
          <w:szCs w:val="20"/>
          <w:vertAlign w:val="subscript"/>
        </w:rPr>
        <w:t>réactif titrant</w:t>
      </w:r>
      <w:r>
        <w:rPr>
          <w:rFonts w:cs="Arial" w:ascii="Arial" w:hAnsi="Arial"/>
          <w:bCs/>
          <w:sz w:val="20"/>
          <w:szCs w:val="20"/>
        </w:rPr>
        <w:t>).</w:t>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Cs/>
          <w:sz w:val="20"/>
          <w:szCs w:val="20"/>
        </w:rPr>
      </w:pPr>
      <w:r>
        <w:rPr>
          <w:rFonts w:cs="Arial" w:ascii="Arial" w:hAnsi="Arial"/>
          <w:bCs/>
          <w:sz w:val="20"/>
          <w:szCs w:val="20"/>
        </w:rPr>
      </w:r>
    </w:p>
    <w:p>
      <w:pPr>
        <w:pStyle w:val="Normal"/>
        <w:rPr>
          <w:rFonts w:ascii="Arial" w:hAnsi="Arial" w:cs="Arial"/>
          <w:b/>
          <w:b/>
          <w:i/>
          <w:i/>
          <w:sz w:val="22"/>
          <w:szCs w:val="22"/>
        </w:rPr>
      </w:pPr>
      <w:r>
        <w:rPr>
          <w:rFonts w:cs="Arial" w:ascii="Arial" w:hAnsi="Arial"/>
          <w:b/>
          <w:i/>
          <w:sz w:val="22"/>
          <w:szCs w:val="22"/>
        </w:rPr>
      </w:r>
    </w:p>
    <w:p>
      <w:pPr>
        <w:pStyle w:val="Normal"/>
        <w:rPr>
          <w:rFonts w:ascii="Arial" w:hAnsi="Arial" w:cs="Arial"/>
          <w:b/>
          <w:b/>
          <w:i/>
          <w:i/>
          <w:sz w:val="22"/>
          <w:szCs w:val="22"/>
        </w:rPr>
      </w:pPr>
      <w:r>
        <w:rPr>
          <w:rFonts w:cs="Arial" w:ascii="Arial" w:hAnsi="Arial"/>
          <w:b/>
          <w:i/>
          <w:sz w:val="22"/>
          <w:szCs w:val="22"/>
        </w:rPr>
      </w:r>
    </w:p>
    <w:p>
      <w:pPr>
        <w:pStyle w:val="Normal"/>
        <w:rPr>
          <w:rFonts w:ascii="Arial" w:hAnsi="Arial" w:cs="Arial"/>
          <w:b/>
          <w:b/>
          <w:i/>
          <w:i/>
          <w:sz w:val="22"/>
          <w:szCs w:val="22"/>
        </w:rPr>
      </w:pPr>
      <w:r>
        <w:rPr>
          <w:rFonts w:cs="Arial" w:ascii="Arial" w:hAnsi="Arial"/>
          <w:b/>
          <w:i/>
          <w:sz w:val="22"/>
          <w:szCs w:val="22"/>
        </w:rPr>
      </w:r>
    </w:p>
    <w:p>
      <w:pPr>
        <w:pStyle w:val="Normal"/>
        <w:rPr>
          <w:rFonts w:ascii="Arial" w:hAnsi="Arial" w:cs="Arial"/>
          <w:b/>
          <w:b/>
          <w:i/>
          <w:i/>
          <w:sz w:val="22"/>
          <w:szCs w:val="22"/>
        </w:rPr>
      </w:pPr>
      <w:r>
        <w:rPr>
          <w:rFonts w:cs="Arial" w:ascii="Arial" w:hAnsi="Arial"/>
          <w:b/>
          <w:i/>
          <w:sz w:val="22"/>
          <w:szCs w:val="22"/>
        </w:rPr>
        <w:t>Problématique :</w:t>
      </w:r>
    </w:p>
    <w:p>
      <w:pPr>
        <w:pStyle w:val="Normal"/>
        <w:rPr>
          <w:rFonts w:ascii="Arial" w:hAnsi="Arial" w:cs="Arial"/>
          <w:b/>
          <w:b/>
          <w:i/>
          <w:i/>
          <w:sz w:val="22"/>
          <w:szCs w:val="22"/>
        </w:rPr>
      </w:pPr>
      <w:r>
        <w:rPr>
          <w:rFonts w:cs="Arial" w:ascii="Arial" w:hAnsi="Arial"/>
          <w:b/>
          <w:i/>
          <w:sz w:val="22"/>
          <w:szCs w:val="22"/>
        </w:rPr>
        <w:t xml:space="preserve">Sur une bouteille de vinaigre, un fabricant indique un degré d’acidité. </w:t>
      </w:r>
    </w:p>
    <w:p>
      <w:pPr>
        <w:pStyle w:val="Normal"/>
        <w:rPr>
          <w:rFonts w:ascii="Arial" w:hAnsi="Arial" w:cs="Arial"/>
          <w:sz w:val="22"/>
          <w:szCs w:val="22"/>
        </w:rPr>
      </w:pPr>
      <w:r>
        <w:rPr>
          <w:rFonts w:cs="Arial" w:ascii="Arial" w:hAnsi="Arial"/>
          <w:b/>
          <w:i/>
          <w:sz w:val="22"/>
          <w:szCs w:val="22"/>
        </w:rPr>
        <w:t>Vous devez vérifier pour une association de consommateurs la valeur indiquée par le fabricant en réalisant un titrage pH-métrique.</w:t>
      </w:r>
      <w:r>
        <w:rPr>
          <w:rFonts w:cs="Arial" w:ascii="Arial" w:hAnsi="Arial"/>
          <w:sz w:val="22"/>
          <w:szCs w:val="22"/>
        </w:rPr>
        <w:t xml:space="preserve"> </w:t>
      </w:r>
    </w:p>
    <w:p>
      <w:pPr>
        <w:pStyle w:val="Normal"/>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Le vinaigre étant une solution contenant de l’acide éthanoïque, on choisit la réaction acido-basique entre l’acide éthanoïque CH</w:t>
      </w:r>
      <w:r>
        <w:rPr>
          <w:rFonts w:cs="Arial" w:ascii="Arial" w:hAnsi="Arial"/>
          <w:sz w:val="22"/>
          <w:szCs w:val="22"/>
          <w:vertAlign w:val="subscript"/>
        </w:rPr>
        <w:t>3</w:t>
      </w:r>
      <w:r>
        <w:rPr>
          <w:rFonts w:cs="Arial" w:ascii="Arial" w:hAnsi="Arial"/>
          <w:sz w:val="22"/>
          <w:szCs w:val="22"/>
        </w:rPr>
        <w:t>COOH et les ions hydroxyde HO</w:t>
      </w:r>
      <w:r>
        <w:rPr>
          <w:rFonts w:cs="Arial" w:ascii="Arial" w:hAnsi="Arial"/>
          <w:sz w:val="22"/>
          <w:szCs w:val="22"/>
          <w:vertAlign w:val="superscript"/>
        </w:rPr>
        <w:t>-</w:t>
      </w:r>
      <w:r>
        <w:rPr>
          <w:rFonts w:cs="Arial" w:ascii="Arial" w:hAnsi="Arial"/>
          <w:sz w:val="22"/>
          <w:szCs w:val="22"/>
        </w:rPr>
        <w:t xml:space="preserve"> comme support du dosage. </w:t>
      </w:r>
    </w:p>
    <w:p>
      <w:pPr>
        <w:pStyle w:val="Normal"/>
        <w:jc w:val="both"/>
        <w:rPr>
          <w:rFonts w:ascii="Arial" w:hAnsi="Arial" w:cs="Arial"/>
          <w:sz w:val="22"/>
          <w:szCs w:val="22"/>
        </w:rPr>
      </w:pPr>
      <w:r>
        <w:rPr>
          <w:rFonts w:cs="Arial" w:ascii="Arial" w:hAnsi="Arial"/>
          <w:sz w:val="22"/>
          <w:szCs w:val="22"/>
        </w:rPr>
        <w:t>Les ions hydroxyde sont apportés par une solution d’hydroxyde de sodium (Na</w:t>
      </w:r>
      <w:r>
        <w:rPr>
          <w:rFonts w:cs="Arial" w:ascii="Arial" w:hAnsi="Arial"/>
          <w:sz w:val="22"/>
          <w:szCs w:val="22"/>
          <w:vertAlign w:val="superscript"/>
        </w:rPr>
        <w:t>+</w:t>
      </w:r>
      <w:r>
        <w:rPr>
          <w:rFonts w:cs="Arial" w:ascii="Arial" w:hAnsi="Arial"/>
          <w:sz w:val="22"/>
          <w:szCs w:val="22"/>
          <w:vertAlign w:val="subscript"/>
        </w:rPr>
        <w:t>(aq)</w:t>
      </w:r>
      <w:r>
        <w:rPr>
          <w:rFonts w:cs="Arial" w:ascii="Arial" w:hAnsi="Arial"/>
          <w:sz w:val="22"/>
          <w:szCs w:val="22"/>
        </w:rPr>
        <w:t xml:space="preserve"> , HO</w:t>
      </w:r>
      <w:r>
        <w:rPr>
          <w:rFonts w:cs="Arial" w:ascii="Arial" w:hAnsi="Arial"/>
          <w:sz w:val="22"/>
          <w:szCs w:val="22"/>
          <w:vertAlign w:val="superscript"/>
        </w:rPr>
        <w:t>-</w:t>
      </w:r>
      <w:r>
        <w:rPr>
          <w:rFonts w:cs="Arial" w:ascii="Arial" w:hAnsi="Arial"/>
          <w:sz w:val="22"/>
          <w:szCs w:val="22"/>
          <w:vertAlign w:val="subscript"/>
        </w:rPr>
        <w:t>(aq)</w:t>
      </w:r>
      <w:r>
        <w:rPr>
          <w:rFonts w:cs="Arial" w:ascii="Arial" w:hAnsi="Arial"/>
          <w:sz w:val="22"/>
          <w:szCs w:val="22"/>
        </w:rPr>
        <w:t>) de concentration en espèce apportée C = 1,0.10</w:t>
      </w:r>
      <w:r>
        <w:rPr>
          <w:rFonts w:cs="Arial" w:ascii="Arial" w:hAnsi="Arial"/>
          <w:sz w:val="22"/>
          <w:szCs w:val="22"/>
          <w:vertAlign w:val="superscript"/>
        </w:rPr>
        <w:t>-1</w:t>
      </w:r>
      <w:r>
        <w:rPr>
          <w:rFonts w:cs="Arial" w:ascii="Arial" w:hAnsi="Arial"/>
          <w:sz w:val="22"/>
          <w:szCs w:val="22"/>
        </w:rPr>
        <w:t xml:space="preserve"> mol.L</w:t>
      </w:r>
      <w:r>
        <w:rPr>
          <w:rFonts w:cs="Arial" w:ascii="Arial" w:hAnsi="Arial"/>
          <w:sz w:val="22"/>
          <w:szCs w:val="22"/>
          <w:vertAlign w:val="superscript"/>
        </w:rPr>
        <w:t>-1</w:t>
      </w:r>
      <w:r>
        <w:rPr>
          <w:rFonts w:cs="Arial" w:ascii="Arial" w:hAnsi="Arial"/>
          <w:sz w:val="22"/>
          <w:szCs w:val="22"/>
        </w:rPr>
        <w:t>.</w:t>
      </w:r>
    </w:p>
    <w:p>
      <w:pPr>
        <w:pStyle w:val="Normal"/>
        <w:rPr>
          <w:rFonts w:ascii="Arial" w:hAnsi="Arial" w:cs="Arial"/>
          <w:sz w:val="22"/>
          <w:szCs w:val="22"/>
        </w:rPr>
      </w:pPr>
      <w:r>
        <w:rPr>
          <w:rFonts w:cs="Arial" w:ascii="Arial" w:hAnsi="Arial"/>
          <w:sz w:val="22"/>
          <w:szCs w:val="22"/>
        </w:rPr>
      </w:r>
    </w:p>
    <w:p>
      <w:pPr>
        <w:pStyle w:val="Normal"/>
        <w:rPr>
          <w:rFonts w:ascii="Arial" w:hAnsi="Arial" w:cs="Arial"/>
          <w:b/>
          <w:b/>
          <w:bCs/>
          <w:sz w:val="22"/>
          <w:szCs w:val="22"/>
        </w:rPr>
      </w:pPr>
      <w:r>
        <w:rPr>
          <w:rFonts w:cs="Arial" w:ascii="Arial" w:hAnsi="Arial"/>
          <w:b/>
          <w:bCs/>
          <w:sz w:val="22"/>
          <w:szCs w:val="22"/>
        </w:rPr>
        <w:t>Réaction support du titrage :    CH</w:t>
      </w:r>
      <w:r>
        <w:rPr>
          <w:rFonts w:cs="Arial" w:ascii="Arial" w:hAnsi="Arial"/>
          <w:b/>
          <w:bCs/>
          <w:sz w:val="22"/>
          <w:szCs w:val="22"/>
          <w:vertAlign w:val="subscript"/>
        </w:rPr>
        <w:t>3</w:t>
      </w:r>
      <w:r>
        <w:rPr>
          <w:rFonts w:cs="Arial" w:ascii="Arial" w:hAnsi="Arial"/>
          <w:b/>
          <w:bCs/>
          <w:sz w:val="22"/>
          <w:szCs w:val="22"/>
        </w:rPr>
        <w:t xml:space="preserve">COOH </w:t>
      </w:r>
      <w:r>
        <w:rPr>
          <w:rFonts w:cs="Arial" w:ascii="Arial" w:hAnsi="Arial"/>
          <w:b/>
          <w:bCs/>
          <w:sz w:val="22"/>
          <w:szCs w:val="22"/>
          <w:vertAlign w:val="subscript"/>
        </w:rPr>
        <w:t>(aq)</w:t>
      </w:r>
      <w:r>
        <w:rPr>
          <w:rFonts w:cs="Arial" w:ascii="Arial" w:hAnsi="Arial"/>
          <w:b/>
          <w:bCs/>
          <w:sz w:val="22"/>
          <w:szCs w:val="22"/>
        </w:rPr>
        <w:t xml:space="preserve">  +   HO</w:t>
      </w:r>
      <w:r>
        <w:rPr>
          <w:rFonts w:cs="Arial" w:ascii="Arial" w:hAnsi="Arial"/>
          <w:b/>
          <w:bCs/>
          <w:sz w:val="22"/>
          <w:szCs w:val="22"/>
          <w:vertAlign w:val="superscript"/>
        </w:rPr>
        <w:t>-</w:t>
      </w:r>
      <w:r>
        <w:rPr>
          <w:rFonts w:cs="Arial" w:ascii="Arial" w:hAnsi="Arial"/>
          <w:b/>
          <w:bCs/>
          <w:sz w:val="22"/>
          <w:szCs w:val="22"/>
        </w:rPr>
        <w:t xml:space="preserve"> </w:t>
      </w:r>
      <w:r>
        <w:rPr>
          <w:rFonts w:cs="Arial" w:ascii="Arial" w:hAnsi="Arial"/>
          <w:b/>
          <w:bCs/>
          <w:sz w:val="22"/>
          <w:szCs w:val="22"/>
          <w:vertAlign w:val="subscript"/>
        </w:rPr>
        <w:t>(aq)</w:t>
      </w:r>
      <w:r>
        <w:rPr>
          <w:rFonts w:cs="Arial" w:ascii="Arial" w:hAnsi="Arial"/>
          <w:b/>
          <w:bCs/>
          <w:sz w:val="22"/>
          <w:szCs w:val="22"/>
        </w:rPr>
        <w:t xml:space="preserve">  </w:t>
      </w:r>
      <w:r>
        <w:rPr>
          <w:rFonts w:eastAsia="Symbol" w:cs="Symbol" w:ascii="Symbol" w:hAnsi="Symbol"/>
          <w:b/>
          <w:bCs/>
          <w:sz w:val="22"/>
          <w:szCs w:val="22"/>
        </w:rPr>
        <w:t></w:t>
      </w:r>
      <w:r>
        <w:rPr>
          <w:rFonts w:cs="Arial" w:ascii="Arial" w:hAnsi="Arial"/>
          <w:b/>
          <w:bCs/>
          <w:sz w:val="22"/>
          <w:szCs w:val="22"/>
        </w:rPr>
        <w:t xml:space="preserve">   CH</w:t>
      </w:r>
      <w:r>
        <w:rPr>
          <w:rFonts w:cs="Arial" w:ascii="Arial" w:hAnsi="Arial"/>
          <w:b/>
          <w:bCs/>
          <w:sz w:val="22"/>
          <w:szCs w:val="22"/>
          <w:vertAlign w:val="subscript"/>
        </w:rPr>
        <w:t>3</w:t>
      </w:r>
      <w:r>
        <w:rPr>
          <w:rFonts w:cs="Arial" w:ascii="Arial" w:hAnsi="Arial"/>
          <w:b/>
          <w:bCs/>
          <w:sz w:val="22"/>
          <w:szCs w:val="22"/>
        </w:rPr>
        <w:t>COO</w:t>
      </w:r>
      <w:r>
        <w:rPr>
          <w:rFonts w:cs="Arial" w:ascii="Arial" w:hAnsi="Arial"/>
          <w:b/>
          <w:bCs/>
          <w:sz w:val="22"/>
          <w:szCs w:val="22"/>
          <w:vertAlign w:val="superscript"/>
        </w:rPr>
        <w:t>-</w:t>
      </w:r>
      <w:r>
        <w:rPr>
          <w:rFonts w:cs="Arial" w:ascii="Arial" w:hAnsi="Arial"/>
          <w:b/>
          <w:bCs/>
          <w:sz w:val="22"/>
          <w:szCs w:val="22"/>
        </w:rPr>
        <w:t xml:space="preserve"> </w:t>
      </w:r>
      <w:r>
        <w:rPr>
          <w:rFonts w:cs="Arial" w:ascii="Arial" w:hAnsi="Arial"/>
          <w:b/>
          <w:bCs/>
          <w:sz w:val="22"/>
          <w:szCs w:val="22"/>
          <w:vertAlign w:val="subscript"/>
        </w:rPr>
        <w:t>(aq)</w:t>
      </w:r>
      <w:r>
        <w:rPr>
          <w:rFonts w:cs="Arial" w:ascii="Arial" w:hAnsi="Arial"/>
          <w:b/>
          <w:bCs/>
          <w:sz w:val="22"/>
          <w:szCs w:val="22"/>
        </w:rPr>
        <w:t xml:space="preserve">  +  H</w:t>
      </w:r>
      <w:r>
        <w:rPr>
          <w:rFonts w:cs="Arial" w:ascii="Arial" w:hAnsi="Arial"/>
          <w:b/>
          <w:bCs/>
          <w:sz w:val="22"/>
          <w:szCs w:val="22"/>
          <w:vertAlign w:val="subscript"/>
        </w:rPr>
        <w:t>2</w:t>
      </w:r>
      <w:r>
        <w:rPr>
          <w:rFonts w:cs="Arial" w:ascii="Arial" w:hAnsi="Arial"/>
          <w:b/>
          <w:bCs/>
          <w:sz w:val="22"/>
          <w:szCs w:val="22"/>
        </w:rPr>
        <w:t xml:space="preserve">O </w:t>
      </w:r>
      <w:r>
        <w:rPr>
          <w:rFonts w:cs="Arial" w:ascii="Arial" w:hAnsi="Arial"/>
          <w:b/>
          <w:bCs/>
          <w:sz w:val="22"/>
          <w:szCs w:val="22"/>
          <w:vertAlign w:val="subscript"/>
        </w:rPr>
        <w:t>(l)</w:t>
      </w:r>
    </w:p>
    <w:p>
      <w:pPr>
        <w:pStyle w:val="Normal"/>
        <w:rPr>
          <w:rFonts w:ascii="Arial" w:hAnsi="Arial" w:cs="Arial"/>
          <w:sz w:val="22"/>
          <w:szCs w:val="22"/>
        </w:rPr>
      </w:pPr>
      <w:r>
        <w:rPr>
          <w:rFonts w:cs="Arial" w:ascii="Arial" w:hAnsi="Arial"/>
          <w:sz w:val="22"/>
          <w:szCs w:val="22"/>
        </w:rPr>
      </w:r>
    </w:p>
    <w:p>
      <w:pPr>
        <w:pStyle w:val="ListParagraph"/>
        <w:numPr>
          <w:ilvl w:val="0"/>
          <w:numId w:val="1"/>
        </w:numPr>
        <w:rPr>
          <w:rFonts w:ascii="Arial" w:hAnsi="Arial" w:cs="Arial"/>
          <w:b/>
          <w:b/>
        </w:rPr>
      </w:pPr>
      <w:r>
        <w:drawing>
          <wp:anchor behindDoc="0" distT="0" distB="9525" distL="114300" distR="120650" simplePos="0" locked="0" layoutInCell="1" allowOverlap="1" relativeHeight="7">
            <wp:simplePos x="0" y="0"/>
            <wp:positionH relativeFrom="margin">
              <wp:posOffset>5003800</wp:posOffset>
            </wp:positionH>
            <wp:positionV relativeFrom="paragraph">
              <wp:posOffset>21590</wp:posOffset>
            </wp:positionV>
            <wp:extent cx="1745615" cy="3476625"/>
            <wp:effectExtent l="0" t="0" r="0" b="0"/>
            <wp:wrapTight wrapText="bothSides">
              <wp:wrapPolygon edited="0">
                <wp:start x="-85" y="0"/>
                <wp:lineTo x="-85" y="21433"/>
                <wp:lineTo x="21428" y="21433"/>
                <wp:lineTo x="21428" y="0"/>
                <wp:lineTo x="-85" y="0"/>
              </wp:wrapPolygon>
            </wp:wrapTight>
            <wp:docPr id="5" name="Imag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10" descr=""/>
                    <pic:cNvPicPr>
                      <a:picLocks noChangeAspect="1" noChangeArrowheads="1"/>
                    </pic:cNvPicPr>
                  </pic:nvPicPr>
                  <pic:blipFill>
                    <a:blip r:embed="rId15"/>
                    <a:stretch>
                      <a:fillRect/>
                    </a:stretch>
                  </pic:blipFill>
                  <pic:spPr bwMode="auto">
                    <a:xfrm>
                      <a:off x="0" y="0"/>
                      <a:ext cx="1745615" cy="3476625"/>
                    </a:xfrm>
                    <a:prstGeom prst="rect">
                      <a:avLst/>
                    </a:prstGeom>
                  </pic:spPr>
                </pic:pic>
              </a:graphicData>
            </a:graphic>
          </wp:anchor>
        </w:drawing>
      </w:r>
      <w:r>
        <w:rPr>
          <w:rFonts w:cs="Arial" w:ascii="Arial" w:hAnsi="Arial"/>
          <w:b/>
        </w:rPr>
        <w:t>P</w:t>
      </w:r>
      <w:r>
        <w:rPr>
          <w:rFonts w:cs="Arial" w:ascii="Arial" w:hAnsi="Arial"/>
          <w:b/>
        </w:rPr>
        <w:t>réparation de la solution à titrer</w:t>
      </w:r>
    </w:p>
    <w:p>
      <w:pPr>
        <w:pStyle w:val="Normal"/>
        <w:rPr>
          <w:rFonts w:ascii="Arial" w:hAnsi="Arial" w:cs="Arial"/>
          <w:sz w:val="22"/>
          <w:szCs w:val="22"/>
        </w:rPr>
      </w:pPr>
      <w:r>
        <w:rPr>
          <w:rFonts w:cs="Arial" w:ascii="Arial" w:hAnsi="Arial"/>
          <w:sz w:val="22"/>
          <w:szCs w:val="22"/>
        </w:rPr>
        <w:t>La solution de vinaigre commerciale (Vinaigre cristal) étant très concentrée, on la dilue 10 fois.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 xml:space="preserve">Proposer un protocole pour réaliser cette opération. </w:t>
      </w:r>
    </w:p>
    <w:p>
      <w:pPr>
        <w:pStyle w:val="Normal"/>
        <w:rPr>
          <w:rFonts w:ascii="Arial" w:hAnsi="Arial" w:cs="Arial"/>
          <w:sz w:val="22"/>
          <w:szCs w:val="22"/>
        </w:rPr>
      </w:pPr>
      <w:r>
        <w:rPr>
          <w:rFonts w:cs="Arial" w:ascii="Arial" w:hAnsi="Arial"/>
          <w:sz w:val="22"/>
          <w:szCs w:val="22"/>
        </w:rPr>
      </w:r>
    </w:p>
    <w:p>
      <w:pPr>
        <w:pStyle w:val="ListParagraph"/>
        <w:numPr>
          <w:ilvl w:val="0"/>
          <w:numId w:val="1"/>
        </w:numPr>
        <w:rPr>
          <w:rFonts w:ascii="Arial" w:hAnsi="Arial" w:cs="Arial"/>
          <w:b/>
          <w:b/>
        </w:rPr>
      </w:pPr>
      <w:r>
        <w:rPr>
          <w:rFonts w:cs="Arial" w:ascii="Arial" w:hAnsi="Arial"/>
          <w:b/>
        </w:rPr>
        <w:t>Titrage colorimétrique</w:t>
      </w:r>
    </w:p>
    <w:p>
      <w:pPr>
        <w:pStyle w:val="Normal"/>
        <w:rPr>
          <w:rFonts w:ascii="Arial" w:hAnsi="Arial" w:cs="Arial"/>
          <w:b/>
          <w:b/>
          <w:bCs/>
          <w:sz w:val="22"/>
          <w:szCs w:val="22"/>
        </w:rPr>
      </w:pPr>
      <w:r>
        <w:rPr>
          <w:rFonts w:cs="Arial" w:ascii="Arial" w:hAnsi="Arial"/>
          <w:b/>
          <w:bCs/>
          <w:sz w:val="22"/>
          <w:szCs w:val="22"/>
        </w:rPr>
        <w:t xml:space="preserve">Utiliser la simulation du titrage </w:t>
      </w:r>
    </w:p>
    <w:p>
      <w:pPr>
        <w:pStyle w:val="Normal"/>
        <w:rPr/>
      </w:pPr>
      <w:hyperlink r:id="rId16">
        <w:r>
          <w:rPr>
            <w:rStyle w:val="LienInternet"/>
            <w:rFonts w:cs="Arial" w:ascii="Arial" w:hAnsi="Arial"/>
            <w:b/>
            <w:bCs/>
            <w:sz w:val="22"/>
            <w:szCs w:val="22"/>
          </w:rPr>
          <w:t>https://physique-chimie.discip.ac-caen.fr/IMG/html/dosage_titrage.html</w:t>
        </w:r>
      </w:hyperlink>
    </w:p>
    <w:p>
      <w:pPr>
        <w:pStyle w:val="Normal"/>
        <w:rPr>
          <w:rFonts w:ascii="Arial" w:hAnsi="Arial" w:cs="Arial"/>
          <w:sz w:val="22"/>
          <w:szCs w:val="22"/>
        </w:rPr>
      </w:pPr>
      <w:r>
        <w:rPr>
          <w:rFonts w:cs="Arial" w:ascii="Arial" w:hAnsi="Arial"/>
          <w:sz w:val="22"/>
          <w:szCs w:val="22"/>
        </w:rPr>
        <w:t xml:space="preserve">Entrer exactement les paramètres suivants : </w:t>
      </w:r>
    </w:p>
    <w:p>
      <w:pPr>
        <w:pStyle w:val="Normal"/>
        <w:rPr>
          <w:rFonts w:ascii="Arial" w:hAnsi="Arial" w:cs="Arial"/>
          <w:sz w:val="22"/>
          <w:szCs w:val="22"/>
        </w:rPr>
      </w:pPr>
      <w:r>
        <w:rPr/>
        <w:drawing>
          <wp:inline distT="0" distB="0" distL="0" distR="0">
            <wp:extent cx="4248150" cy="914400"/>
            <wp:effectExtent l="0" t="0" r="0" b="0"/>
            <wp:docPr id="6"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7" descr=""/>
                    <pic:cNvPicPr>
                      <a:picLocks noChangeAspect="1" noChangeArrowheads="1"/>
                    </pic:cNvPicPr>
                  </pic:nvPicPr>
                  <pic:blipFill>
                    <a:blip r:embed="rId17"/>
                    <a:stretch>
                      <a:fillRect/>
                    </a:stretch>
                  </pic:blipFill>
                  <pic:spPr bwMode="auto">
                    <a:xfrm>
                      <a:off x="0" y="0"/>
                      <a:ext cx="4248150" cy="914400"/>
                    </a:xfrm>
                    <a:prstGeom prst="rect">
                      <a:avLst/>
                    </a:prstGeom>
                  </pic:spPr>
                </pic:pic>
              </a:graphicData>
            </a:graphic>
          </wp:inline>
        </w:drawing>
      </w:r>
    </w:p>
    <w:p>
      <w:pPr>
        <w:pStyle w:val="Normal"/>
        <w:rPr>
          <w:rFonts w:ascii="Arial" w:hAnsi="Arial" w:cs="Arial"/>
          <w:sz w:val="22"/>
          <w:szCs w:val="22"/>
        </w:rPr>
      </w:pPr>
      <w:r>
        <w:rPr>
          <w:rFonts w:cs="Arial" w:ascii="Arial" w:hAnsi="Arial"/>
          <w:sz w:val="22"/>
          <w:szCs w:val="22"/>
        </w:rPr>
        <w:t xml:space="preserve"> </w:t>
      </w:r>
    </w:p>
    <w:p>
      <w:pPr>
        <w:pStyle w:val="Normal"/>
        <w:rPr>
          <w:rFonts w:ascii="Arial" w:hAnsi="Arial" w:cs="Arial"/>
          <w:b/>
          <w:b/>
          <w:bCs/>
          <w:sz w:val="22"/>
          <w:szCs w:val="22"/>
        </w:rPr>
      </w:pPr>
      <w:r>
        <w:rPr>
          <w:rFonts w:cs="Arial" w:ascii="Arial" w:hAnsi="Arial"/>
          <w:b/>
          <w:bCs/>
          <w:sz w:val="22"/>
          <w:szCs w:val="22"/>
        </w:rPr>
        <w:t>Mettre en route l’agitateur</w:t>
      </w:r>
    </w:p>
    <w:p>
      <w:pPr>
        <w:pStyle w:val="Normal"/>
        <w:rPr>
          <w:rFonts w:ascii="Arial" w:hAnsi="Arial" w:cs="Arial"/>
          <w:b/>
          <w:b/>
          <w:bCs/>
          <w:sz w:val="22"/>
          <w:szCs w:val="22"/>
        </w:rPr>
      </w:pPr>
      <w:r>
        <w:rPr>
          <w:rFonts w:cs="Arial" w:ascii="Arial" w:hAnsi="Arial"/>
          <w:b/>
          <w:bCs/>
          <w:sz w:val="22"/>
          <w:szCs w:val="22"/>
        </w:rPr>
        <w:t>Ouvrir le robinet de la burette. Entrainez-vous !</w:t>
      </w:r>
    </w:p>
    <w:p>
      <w:pPr>
        <w:pStyle w:val="Normal"/>
        <w:rPr>
          <w:rFonts w:ascii="Arial" w:hAnsi="Arial" w:cs="Arial"/>
          <w:sz w:val="22"/>
          <w:szCs w:val="22"/>
        </w:rPr>
      </w:pPr>
      <w:r>
        <w:rPr>
          <w:rFonts w:cs="Arial" w:ascii="Arial" w:hAnsi="Arial"/>
          <w:sz w:val="22"/>
          <w:szCs w:val="22"/>
        </w:rPr>
      </w:r>
    </w:p>
    <w:p>
      <w:pPr>
        <w:pStyle w:val="ListParagraph"/>
        <w:numPr>
          <w:ilvl w:val="0"/>
          <w:numId w:val="1"/>
        </w:numPr>
        <w:rPr>
          <w:rFonts w:ascii="Arial" w:hAnsi="Arial" w:cs="Arial"/>
          <w:b/>
          <w:b/>
        </w:rPr>
      </w:pPr>
      <w:r>
        <w:rPr>
          <w:rFonts w:cs="Arial" w:ascii="Arial" w:hAnsi="Arial"/>
          <w:b/>
        </w:rPr>
        <w:t>Titrage par pH-métrie</w:t>
      </w:r>
      <w:r>
        <w:rPr/>
        <w:t xml:space="preserve"> </w:t>
      </w:r>
    </w:p>
    <w:p>
      <w:pPr>
        <w:pStyle w:val="Normal"/>
        <w:jc w:val="both"/>
        <w:rPr>
          <w:rFonts w:ascii="Arial" w:hAnsi="Arial" w:cs="Arial"/>
          <w:sz w:val="22"/>
          <w:szCs w:val="22"/>
          <w:vertAlign w:val="subscript"/>
        </w:rPr>
      </w:pPr>
      <w:r>
        <mc:AlternateContent>
          <mc:Choice Requires="wps">
            <w:drawing>
              <wp:anchor behindDoc="0" distT="45720" distB="45720" distL="114300" distR="114300" simplePos="0" locked="0" layoutInCell="1" allowOverlap="1" relativeHeight="6" wp14:anchorId="0945CB9B">
                <wp:simplePos x="0" y="0"/>
                <wp:positionH relativeFrom="margin">
                  <wp:posOffset>5075555</wp:posOffset>
                </wp:positionH>
                <wp:positionV relativeFrom="paragraph">
                  <wp:posOffset>17145</wp:posOffset>
                </wp:positionV>
                <wp:extent cx="1629410" cy="1190625"/>
                <wp:effectExtent l="0" t="0" r="28575" b="16510"/>
                <wp:wrapSquare wrapText="bothSides"/>
                <wp:docPr id="7" name="Zone de texte 2"/>
                <a:graphic xmlns:a="http://schemas.openxmlformats.org/drawingml/2006/main">
                  <a:graphicData uri="http://schemas.microsoft.com/office/word/2010/wordprocessingShape">
                    <wps:wsp>
                      <wps:cNvSpPr/>
                      <wps:spPr>
                        <a:xfrm>
                          <a:off x="0" y="0"/>
                          <a:ext cx="1628640" cy="1190160"/>
                        </a:xfrm>
                        <a:prstGeom prst="rect">
                          <a:avLst/>
                        </a:prstGeom>
                        <a:solidFill>
                          <a:srgbClr val="ffffff"/>
                        </a:solidFill>
                        <a:ln w="9360">
                          <a:solidFill>
                            <a:srgbClr val="000000"/>
                          </a:solidFill>
                          <a:miter/>
                        </a:ln>
                      </wps:spPr>
                      <wps:style>
                        <a:lnRef idx="0"/>
                        <a:fillRef idx="0"/>
                        <a:effectRef idx="0"/>
                        <a:fontRef idx="minor"/>
                      </wps:style>
                      <wps:txbx>
                        <w:txbxContent>
                          <w:p>
                            <w:pPr>
                              <w:pStyle w:val="Contenudecadre"/>
                              <w:jc w:val="center"/>
                              <w:rPr>
                                <w:rFonts w:ascii="Arial" w:hAnsi="Arial" w:cs="Arial"/>
                                <w:sz w:val="22"/>
                                <w:szCs w:val="22"/>
                              </w:rPr>
                            </w:pPr>
                            <w:r>
                              <w:rPr>
                                <w:rFonts w:cs="Arial" w:ascii="Arial" w:hAnsi="Arial"/>
                                <w:color w:val="auto"/>
                                <w:sz w:val="22"/>
                                <w:szCs w:val="22"/>
                              </w:rPr>
                              <w:t>Par un clic droit vous aurez accès au réticule</w:t>
                            </w:r>
                          </w:p>
                          <w:p>
                            <w:pPr>
                              <w:pStyle w:val="Contenudecadre"/>
                              <w:jc w:val="center"/>
                              <w:rPr>
                                <w:color w:val="auto"/>
                              </w:rPr>
                            </w:pPr>
                            <w:r>
                              <w:rPr>
                                <w:color w:val="auto"/>
                              </w:rPr>
                              <w:drawing>
                                <wp:inline distT="0" distB="9525" distL="0" distR="0">
                                  <wp:extent cx="1181100" cy="676275"/>
                                  <wp:effectExtent l="0" t="0" r="0" b="0"/>
                                  <wp:docPr id="9"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8" descr=""/>
                                          <pic:cNvPicPr>
                                            <a:picLocks noChangeAspect="1" noChangeArrowheads="1"/>
                                          </pic:cNvPicPr>
                                        </pic:nvPicPr>
                                        <pic:blipFill>
                                          <a:blip r:embed="rId18"/>
                                          <a:stretch>
                                            <a:fillRect/>
                                          </a:stretch>
                                        </pic:blipFill>
                                        <pic:spPr bwMode="auto">
                                          <a:xfrm>
                                            <a:off x="0" y="0"/>
                                            <a:ext cx="1181100" cy="676275"/>
                                          </a:xfrm>
                                          <a:prstGeom prst="rect">
                                            <a:avLst/>
                                          </a:prstGeom>
                                        </pic:spPr>
                                      </pic:pic>
                                    </a:graphicData>
                                  </a:graphic>
                                </wp:inline>
                              </w:drawing>
                            </w:r>
                          </w:p>
                        </w:txbxContent>
                      </wps:txbx>
                      <wps:bodyPr>
                        <a:spAutoFit/>
                      </wps:bodyPr>
                    </wps:wsp>
                  </a:graphicData>
                </a:graphic>
                <wp14:sizeRelV relativeFrom="margin">
                  <wp14:pctHeight>20000</wp14:pctHeight>
                </wp14:sizeRelV>
              </wp:anchor>
            </w:drawing>
          </mc:Choice>
          <mc:Fallback>
            <w:pict>
              <v:rect id="shape_0" ID="Zone de texte 2" fillcolor="white" stroked="t" style="position:absolute;margin-left:399.65pt;margin-top:1.35pt;width:128.2pt;height:93.65pt;mso-position-horizontal-relative:margin" wp14:anchorId="0945CB9B">
                <w10:wrap type="square"/>
                <v:fill o:detectmouseclick="t" type="solid" color2="black"/>
                <v:stroke color="black" weight="9360" joinstyle="miter" endcap="flat"/>
                <v:textbox>
                  <w:txbxContent>
                    <w:p>
                      <w:pPr>
                        <w:pStyle w:val="Contenudecadre"/>
                        <w:jc w:val="center"/>
                        <w:rPr>
                          <w:rFonts w:ascii="Arial" w:hAnsi="Arial" w:cs="Arial"/>
                          <w:sz w:val="22"/>
                          <w:szCs w:val="22"/>
                        </w:rPr>
                      </w:pPr>
                      <w:r>
                        <w:rPr>
                          <w:rFonts w:cs="Arial" w:ascii="Arial" w:hAnsi="Arial"/>
                          <w:color w:val="auto"/>
                          <w:sz w:val="22"/>
                          <w:szCs w:val="22"/>
                        </w:rPr>
                        <w:t>Par un clic droit vous aurez accès au réticule</w:t>
                      </w:r>
                    </w:p>
                    <w:p>
                      <w:pPr>
                        <w:pStyle w:val="Contenudecadre"/>
                        <w:jc w:val="center"/>
                        <w:rPr>
                          <w:color w:val="auto"/>
                        </w:rPr>
                      </w:pPr>
                      <w:r>
                        <w:rPr>
                          <w:color w:val="auto"/>
                        </w:rPr>
                        <w:drawing>
                          <wp:inline distT="0" distB="9525" distL="0" distR="0">
                            <wp:extent cx="1181100" cy="676275"/>
                            <wp:effectExtent l="0" t="0" r="0" b="0"/>
                            <wp:docPr id="10"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8" descr=""/>
                                    <pic:cNvPicPr>
                                      <a:picLocks noChangeAspect="1" noChangeArrowheads="1"/>
                                    </pic:cNvPicPr>
                                  </pic:nvPicPr>
                                  <pic:blipFill>
                                    <a:blip r:embed="rId18"/>
                                    <a:stretch>
                                      <a:fillRect/>
                                    </a:stretch>
                                  </pic:blipFill>
                                  <pic:spPr bwMode="auto">
                                    <a:xfrm>
                                      <a:off x="0" y="0"/>
                                      <a:ext cx="1181100" cy="676275"/>
                                    </a:xfrm>
                                    <a:prstGeom prst="rect">
                                      <a:avLst/>
                                    </a:prstGeom>
                                  </pic:spPr>
                                </pic:pic>
                              </a:graphicData>
                            </a:graphic>
                          </wp:inline>
                        </w:drawing>
                      </w:r>
                    </w:p>
                  </w:txbxContent>
                </v:textbox>
              </v:rect>
            </w:pict>
          </mc:Fallback>
        </mc:AlternateContent>
      </w: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Mettre en œuvre une technique pour repérer l’équivalence (V</w:t>
      </w:r>
      <w:r>
        <w:rPr>
          <w:rFonts w:cs="Arial" w:ascii="Arial" w:hAnsi="Arial"/>
          <w:sz w:val="22"/>
          <w:szCs w:val="22"/>
          <w:vertAlign w:val="subscript"/>
        </w:rPr>
        <w:t>E</w:t>
      </w:r>
      <w:r>
        <w:rPr>
          <w:rFonts w:cs="Arial" w:ascii="Arial" w:hAnsi="Arial"/>
          <w:sz w:val="22"/>
          <w:szCs w:val="22"/>
        </w:rPr>
        <w:t>, pH</w:t>
      </w:r>
      <w:r>
        <w:rPr>
          <w:rFonts w:cs="Arial" w:ascii="Arial" w:hAnsi="Arial"/>
          <w:sz w:val="22"/>
          <w:szCs w:val="22"/>
          <w:vertAlign w:val="subscript"/>
        </w:rPr>
        <w:t>E</w:t>
      </w:r>
      <w:r>
        <w:rPr>
          <w:rFonts w:cs="Arial" w:ascii="Arial" w:hAnsi="Arial"/>
          <w:sz w:val="22"/>
          <w:szCs w:val="22"/>
        </w:rPr>
        <w:t>) : outil réticule, Méthode des tangentes ou la grandeur fonction dérivée de pH par rapport à Vb)</w:t>
      </w:r>
      <w:r>
        <w:rPr/>
        <w:t> : L</w:t>
      </w:r>
      <w:r>
        <w:rPr>
          <w:rFonts w:cs="Arial" w:ascii="Arial" w:hAnsi="Arial"/>
          <w:sz w:val="22"/>
          <w:szCs w:val="22"/>
        </w:rPr>
        <w:t>e volume à l’équivalence V</w:t>
      </w:r>
      <w:r>
        <w:rPr>
          <w:rFonts w:cs="Arial" w:ascii="Arial" w:hAnsi="Arial"/>
          <w:sz w:val="22"/>
          <w:szCs w:val="22"/>
          <w:vertAlign w:val="subscript"/>
        </w:rPr>
        <w:t>E = …………………….</w:t>
      </w:r>
    </w:p>
    <w:p>
      <w:pPr>
        <w:pStyle w:val="Normal"/>
        <w:rPr>
          <w:rFonts w:ascii="Arial" w:hAnsi="Arial" w:cs="Arial"/>
          <w:sz w:val="22"/>
          <w:szCs w:val="22"/>
          <w:vertAlign w:val="subscript"/>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Observer l’indicateur coloré choisi et son changement de couleur.</w:t>
      </w:r>
    </w:p>
    <w:p>
      <w:pPr>
        <w:pStyle w:val="Normal"/>
        <w:rPr>
          <w:rFonts w:ascii="Arial" w:hAnsi="Arial" w:cs="Arial"/>
          <w:sz w:val="22"/>
          <w:szCs w:val="22"/>
        </w:rPr>
      </w:pPr>
      <w:r>
        <w:rPr>
          <w:rFonts w:cs="Arial" w:ascii="Arial" w:hAnsi="Arial"/>
          <w:sz w:val="22"/>
          <w:szCs w:val="22"/>
        </w:rPr>
      </w:r>
    </w:p>
    <w:p>
      <w:pPr>
        <w:pStyle w:val="ListParagraph"/>
        <w:numPr>
          <w:ilvl w:val="0"/>
          <w:numId w:val="1"/>
        </w:numPr>
        <w:rPr>
          <w:rFonts w:ascii="Arial" w:hAnsi="Arial" w:cs="Arial"/>
          <w:b/>
          <w:b/>
        </w:rPr>
      </w:pPr>
      <w:r>
        <w:rPr>
          <w:rFonts w:cs="Arial" w:ascii="Arial" w:hAnsi="Arial"/>
          <w:b/>
        </w:rPr>
        <w:t>Vérification du degré des Vinaigres testés</w:t>
      </w:r>
    </w:p>
    <w:p>
      <w:pPr>
        <w:pStyle w:val="Normal"/>
        <w:rPr>
          <w:rFonts w:ascii="Arial" w:hAnsi="Arial" w:cs="Arial"/>
          <w:sz w:val="22"/>
          <w:szCs w:val="22"/>
        </w:rPr>
      </w:pPr>
      <w:r>
        <w:rPr>
          <w:rFonts w:eastAsia="Wingdings" w:cs="Wingdings" w:ascii="Wingdings" w:hAnsi="Wingdings"/>
          <w:b/>
          <w:sz w:val="22"/>
          <w:szCs w:val="22"/>
        </w:rPr>
        <w:t></w:t>
      </w:r>
      <w:r>
        <w:rPr>
          <w:rFonts w:cs="Arial" w:ascii="Arial" w:hAnsi="Arial"/>
          <w:b/>
          <w:sz w:val="22"/>
          <w:szCs w:val="22"/>
        </w:rPr>
        <w:t xml:space="preserve"> </w:t>
      </w:r>
      <w:r>
        <w:rPr>
          <w:rFonts w:cs="Arial" w:ascii="Arial" w:hAnsi="Arial"/>
          <w:sz w:val="22"/>
          <w:szCs w:val="22"/>
        </w:rPr>
        <w:t>Quelle relation peut-on écrire entre les quantités de réactifs à l’équivalence ?</w:t>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Déterminer la quantité d’acide acétique dans le prélèvement de 10 mL de solution de vinaigre dilué.</w:t>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 xml:space="preserve">En déduire la concentration molaire du vinaigre dilué testé </w:t>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En déduire la concentration molaire du vinaigre du commerce</w:t>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En déduire la concentration massique du vinaigre du commerce</w:t>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r>
        <w:rPr>
          <w:rFonts w:cs="Arial" w:ascii="Arial" w:hAnsi="Arial"/>
          <w:sz w:val="22"/>
          <w:szCs w:val="22"/>
        </w:rPr>
        <w:t>En déduire le degré d’acidité du vinaigre testé (en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Donnée : Masse molaire de l’acide éthanoïque M = 60,0 g.mol</w:t>
      </w:r>
      <w:r>
        <w:rPr>
          <w:rFonts w:cs="Arial" w:ascii="Arial" w:hAnsi="Arial"/>
          <w:sz w:val="22"/>
          <w:szCs w:val="22"/>
          <w:vertAlign w:val="superscript"/>
        </w:rPr>
        <w:t>-1</w:t>
      </w:r>
      <w:r>
        <w:rPr>
          <w:rFonts w:cs="Arial" w:ascii="Arial" w:hAnsi="Arial"/>
          <w:sz w:val="22"/>
          <w:szCs w:val="22"/>
        </w:rPr>
        <w:t>.</w:t>
      </w:r>
    </w:p>
    <w:p>
      <w:pPr>
        <w:pStyle w:val="Normal"/>
        <w:rPr>
          <w:rFonts w:ascii="Arial" w:hAnsi="Arial" w:cs="Arial"/>
          <w:bCs/>
          <w:iCs/>
          <w:sz w:val="22"/>
          <w:szCs w:val="22"/>
        </w:rPr>
      </w:pPr>
      <w:r>
        <w:rPr>
          <w:rFonts w:cs="Arial" w:ascii="Arial" w:hAnsi="Arial"/>
          <w:bCs/>
          <w:iCs/>
          <w:sz w:val="22"/>
          <w:szCs w:val="22"/>
        </w:rPr>
        <w:t xml:space="preserve">On définit en Europe </w:t>
      </w:r>
      <w:r>
        <w:rPr>
          <w:rFonts w:cs="Arial" w:ascii="Arial" w:hAnsi="Arial"/>
          <w:bCs/>
          <w:i/>
          <w:iCs/>
          <w:sz w:val="22"/>
          <w:szCs w:val="22"/>
          <w:u w:val="single"/>
        </w:rPr>
        <w:t>le degré d’acidité du vinaigre</w:t>
      </w:r>
      <w:r>
        <w:rPr>
          <w:rFonts w:cs="Arial" w:ascii="Arial" w:hAnsi="Arial"/>
          <w:bCs/>
          <w:iCs/>
          <w:sz w:val="22"/>
          <w:szCs w:val="22"/>
        </w:rPr>
        <w:t xml:space="preserve"> comme étant </w:t>
      </w:r>
      <w:r>
        <w:rPr>
          <w:rFonts w:cs="Arial" w:ascii="Arial" w:hAnsi="Arial"/>
          <w:bCs/>
          <w:i/>
          <w:iCs/>
          <w:sz w:val="22"/>
          <w:szCs w:val="22"/>
          <w:u w:val="single"/>
        </w:rPr>
        <w:t>la masse en grammes d’acide acétique dans 100 g de ce vinaigre</w:t>
      </w:r>
      <w:r>
        <w:rPr>
          <w:rFonts w:cs="Arial" w:ascii="Arial" w:hAnsi="Arial"/>
          <w:bCs/>
          <w:iCs/>
          <w:sz w:val="22"/>
          <w:szCs w:val="22"/>
        </w:rPr>
        <w:t xml:space="preserve"> (environ 100 mL), exprimée en %.</w:t>
      </w:r>
    </w:p>
    <w:p>
      <w:pPr>
        <w:pStyle w:val="Normal"/>
        <w:rPr>
          <w:rFonts w:ascii="Arial" w:hAnsi="Arial" w:cs="Arial"/>
          <w:b/>
          <w:b/>
          <w:sz w:val="22"/>
          <w:szCs w:val="22"/>
        </w:rPr>
      </w:pPr>
      <w:bookmarkStart w:id="1" w:name="_Hlk21275277"/>
      <w:bookmarkStart w:id="2" w:name="_Hlk16584592"/>
      <w:bookmarkStart w:id="3" w:name="_Hlk21275277"/>
      <w:bookmarkStart w:id="4" w:name="_Hlk16584592"/>
      <w:bookmarkEnd w:id="3"/>
      <w:bookmarkEnd w:id="4"/>
      <w:r>
        <w:rPr>
          <w:rFonts w:cs="Arial" w:ascii="Arial" w:hAnsi="Arial"/>
          <w:b/>
          <w:sz w:val="22"/>
          <w:szCs w:val="22"/>
        </w:rPr>
      </w:r>
    </w:p>
    <w:tbl>
      <w:tblPr>
        <w:tblStyle w:val="Grilledutableau"/>
        <w:tblW w:w="10518" w:type="dxa"/>
        <w:jc w:val="center"/>
        <w:tblInd w:w="0" w:type="dxa"/>
        <w:tblCellMar>
          <w:top w:w="0" w:type="dxa"/>
          <w:left w:w="108" w:type="dxa"/>
          <w:bottom w:w="0" w:type="dxa"/>
          <w:right w:w="108" w:type="dxa"/>
        </w:tblCellMar>
        <w:tblLook w:firstRow="1" w:noVBand="1" w:lastRow="0" w:firstColumn="1" w:lastColumn="0" w:noHBand="0" w:val="04a0"/>
      </w:tblPr>
      <w:tblGrid>
        <w:gridCol w:w="2629"/>
        <w:gridCol w:w="2627"/>
        <w:gridCol w:w="2632"/>
        <w:gridCol w:w="2629"/>
      </w:tblGrid>
      <w:tr>
        <w:trPr/>
        <w:tc>
          <w:tcPr>
            <w:tcW w:w="2629" w:type="dxa"/>
            <w:tcBorders/>
            <w:shd w:fill="auto" w:val="clear"/>
            <w:tcMar>
              <w:left w:w="108" w:type="dxa"/>
            </w:tcMar>
          </w:tcPr>
          <w:p>
            <w:pPr>
              <w:pStyle w:val="Normal"/>
              <w:rPr>
                <w:rFonts w:ascii="Arial" w:hAnsi="Arial" w:cs="Arial"/>
                <w:bCs/>
                <w:sz w:val="22"/>
                <w:szCs w:val="22"/>
              </w:rPr>
            </w:pPr>
            <w:r>
              <w:rPr>
                <w:rFonts w:cs="Arial" w:ascii="Arial" w:hAnsi="Arial"/>
                <w:bCs/>
                <w:sz w:val="22"/>
                <w:szCs w:val="22"/>
              </w:rPr>
            </w:r>
          </w:p>
        </w:tc>
        <w:tc>
          <w:tcPr>
            <w:tcW w:w="2627"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t>Vinaigre Cristal</w:t>
            </w:r>
          </w:p>
        </w:tc>
        <w:tc>
          <w:tcPr>
            <w:tcW w:w="2632"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t>Vinaigre Cidre</w:t>
            </w:r>
          </w:p>
        </w:tc>
        <w:tc>
          <w:tcPr>
            <w:tcW w:w="2629"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t>Vinaigre Alcool</w:t>
            </w:r>
          </w:p>
        </w:tc>
      </w:tr>
      <w:tr>
        <w:trPr>
          <w:trHeight w:val="415" w:hRule="atLeast"/>
        </w:trPr>
        <w:tc>
          <w:tcPr>
            <w:tcW w:w="2629" w:type="dxa"/>
            <w:tcBorders/>
            <w:shd w:fill="auto" w:val="clear"/>
            <w:tcMar>
              <w:left w:w="108" w:type="dxa"/>
            </w:tcMar>
          </w:tcPr>
          <w:p>
            <w:pPr>
              <w:pStyle w:val="Normal"/>
              <w:rPr>
                <w:rFonts w:ascii="Arial" w:hAnsi="Arial" w:cs="Arial"/>
                <w:bCs/>
                <w:sz w:val="22"/>
                <w:szCs w:val="22"/>
              </w:rPr>
            </w:pPr>
            <w:r>
              <w:rPr>
                <w:rFonts w:cs="Arial" w:ascii="Arial" w:hAnsi="Arial"/>
                <w:bCs/>
                <w:sz w:val="22"/>
                <w:szCs w:val="22"/>
              </w:rPr>
              <w:t>Cm ( g/L)</w:t>
            </w:r>
          </w:p>
        </w:tc>
        <w:tc>
          <w:tcPr>
            <w:tcW w:w="2627"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r>
          </w:p>
        </w:tc>
        <w:tc>
          <w:tcPr>
            <w:tcW w:w="2632"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r>
          </w:p>
        </w:tc>
        <w:tc>
          <w:tcPr>
            <w:tcW w:w="2629"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r>
          </w:p>
        </w:tc>
      </w:tr>
      <w:tr>
        <w:trPr>
          <w:trHeight w:val="421" w:hRule="atLeast"/>
        </w:trPr>
        <w:tc>
          <w:tcPr>
            <w:tcW w:w="2629" w:type="dxa"/>
            <w:tcBorders/>
            <w:shd w:fill="auto" w:val="clear"/>
            <w:tcMar>
              <w:left w:w="108" w:type="dxa"/>
            </w:tcMar>
          </w:tcPr>
          <w:p>
            <w:pPr>
              <w:pStyle w:val="Normal"/>
              <w:rPr>
                <w:rFonts w:ascii="Arial" w:hAnsi="Arial" w:cs="Arial"/>
                <w:bCs/>
                <w:sz w:val="22"/>
                <w:szCs w:val="22"/>
              </w:rPr>
            </w:pPr>
            <w:r>
              <w:rPr>
                <w:rFonts w:cs="Arial" w:ascii="Arial" w:hAnsi="Arial"/>
                <w:bCs/>
                <w:sz w:val="22"/>
                <w:szCs w:val="22"/>
              </w:rPr>
              <w:t xml:space="preserve">% vinaigre </w:t>
            </w:r>
          </w:p>
        </w:tc>
        <w:tc>
          <w:tcPr>
            <w:tcW w:w="2627"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r>
          </w:p>
        </w:tc>
        <w:tc>
          <w:tcPr>
            <w:tcW w:w="2632"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r>
          </w:p>
        </w:tc>
        <w:tc>
          <w:tcPr>
            <w:tcW w:w="2629" w:type="dxa"/>
            <w:tcBorders/>
            <w:shd w:fill="auto" w:val="clear"/>
            <w:tcMar>
              <w:left w:w="108" w:type="dxa"/>
            </w:tcMar>
          </w:tcPr>
          <w:p>
            <w:pPr>
              <w:pStyle w:val="Normal"/>
              <w:jc w:val="center"/>
              <w:rPr>
                <w:rFonts w:ascii="Arial" w:hAnsi="Arial" w:cs="Arial"/>
                <w:bCs/>
                <w:sz w:val="22"/>
                <w:szCs w:val="22"/>
              </w:rPr>
            </w:pPr>
            <w:r>
              <w:rPr>
                <w:rFonts w:cs="Arial" w:ascii="Arial" w:hAnsi="Arial"/>
                <w:bCs/>
                <w:sz w:val="22"/>
                <w:szCs w:val="22"/>
              </w:rPr>
            </w:r>
          </w:p>
        </w:tc>
      </w:tr>
    </w:tbl>
    <w:p>
      <w:pPr>
        <w:pStyle w:val="Normal"/>
        <w:rPr>
          <w:rFonts w:ascii="Arial" w:hAnsi="Arial" w:cs="Arial"/>
          <w:bCs/>
          <w:sz w:val="22"/>
          <w:szCs w:val="22"/>
        </w:rPr>
      </w:pPr>
      <w:r>
        <w:rPr>
          <w:rFonts w:cs="Arial" w:ascii="Arial" w:hAnsi="Arial"/>
          <w:bCs/>
          <w:sz w:val="22"/>
          <w:szCs w:val="22"/>
        </w:rPr>
      </w:r>
    </w:p>
    <w:p>
      <w:pPr>
        <w:pStyle w:val="Normal"/>
        <w:rPr>
          <w:rFonts w:ascii="Arial" w:hAnsi="Arial" w:cs="Arial"/>
          <w:sz w:val="22"/>
          <w:szCs w:val="22"/>
        </w:rPr>
      </w:pPr>
      <w:r>
        <w:rPr>
          <w:rFonts w:eastAsia="Wingdings" w:cs="Wingdings" w:ascii="Wingdings" w:hAnsi="Wingdings"/>
          <w:sz w:val="22"/>
          <w:szCs w:val="22"/>
        </w:rPr>
        <w:t></w:t>
      </w:r>
      <w:r>
        <w:rPr>
          <w:rFonts w:cs="Arial" w:ascii="Arial" w:hAnsi="Arial"/>
          <w:sz w:val="22"/>
          <w:szCs w:val="22"/>
        </w:rPr>
        <w:t xml:space="preserve"> </w:t>
      </w:r>
      <w:bookmarkStart w:id="5" w:name="_GoBack"/>
      <w:bookmarkEnd w:id="5"/>
      <w:r>
        <w:rPr>
          <w:rFonts w:cs="Arial" w:ascii="Arial" w:hAnsi="Arial"/>
          <w:sz w:val="22"/>
          <w:szCs w:val="22"/>
        </w:rPr>
        <w:t>Montrer qu’un indicateur est manifestement très peu fiable pour repérer le bon volume à l’équivalence.</w:t>
      </w:r>
    </w:p>
    <w:p>
      <w:pPr>
        <w:pStyle w:val="Normal"/>
        <w:rPr>
          <w:rFonts w:ascii="Arial" w:hAnsi="Arial" w:cs="Arial"/>
          <w:sz w:val="22"/>
          <w:szCs w:val="22"/>
        </w:rPr>
      </w:pPr>
      <w:r>
        <w:rPr>
          <w:rFonts w:cs="Arial" w:ascii="Arial" w:hAnsi="Arial"/>
          <w:sz w:val="22"/>
          <w:szCs w:val="22"/>
        </w:rPr>
      </w:r>
    </w:p>
    <w:p>
      <w:pPr>
        <w:pStyle w:val="Titre1"/>
        <w:jc w:val="center"/>
        <w:rPr>
          <w:sz w:val="28"/>
          <w:szCs w:val="28"/>
        </w:rPr>
      </w:pPr>
      <w:r>
        <w:rPr>
          <w:sz w:val="28"/>
          <w:szCs w:val="28"/>
        </w:rPr>
        <w:t>Suivi cinétique d'une réaction d'oxydoréduction par spectrophotométrie</w:t>
      </w:r>
    </w:p>
    <w:p>
      <w:pPr>
        <w:pStyle w:val="Normal"/>
        <w:rPr>
          <w:sz w:val="22"/>
          <w:szCs w:val="22"/>
        </w:rPr>
      </w:pPr>
      <w:r>
        <w:rPr>
          <w:sz w:val="22"/>
          <w:szCs w:val="22"/>
        </w:rPr>
      </w:r>
    </w:p>
    <w:p>
      <w:pPr>
        <w:pStyle w:val="Opstxtp"/>
        <w:spacing w:beforeAutospacing="0" w:before="0" w:afterAutospacing="0" w:after="0"/>
        <w:jc w:val="both"/>
        <w:rPr>
          <w:rFonts w:ascii="Trebuchet MS" w:hAnsi="Trebuchet MS"/>
        </w:rPr>
      </w:pPr>
      <w:r>
        <w:rPr>
          <w:rFonts w:ascii="Trebuchet MS" w:hAnsi="Trebuchet MS"/>
        </w:rPr>
        <w:t>Ce TP avec simulations permet d’appréhender le principe et l'exploitation d'un suivi cinétique par spectrophotométrie.</w:t>
      </w:r>
    </w:p>
    <w:p>
      <w:pPr>
        <w:pStyle w:val="Opstxtp"/>
        <w:spacing w:beforeAutospacing="0" w:before="0" w:afterAutospacing="0" w:after="0"/>
        <w:jc w:val="both"/>
        <w:rPr>
          <w:rFonts w:ascii="Trebuchet MS" w:hAnsi="Trebuchet MS"/>
        </w:rPr>
      </w:pPr>
      <w:r>
        <w:rPr>
          <w:rFonts w:ascii="Trebuchet MS" w:hAnsi="Trebuchet MS"/>
        </w:rPr>
      </w:r>
    </w:p>
    <w:p>
      <w:pPr>
        <w:pStyle w:val="Normal"/>
        <w:pBdr>
          <w:top w:val="single" w:sz="6" w:space="0" w:color="00000A"/>
        </w:pBdr>
        <w:jc w:val="center"/>
        <w:rPr>
          <w:rFonts w:ascii="Arial" w:hAnsi="Arial" w:cs="Arial"/>
          <w:vanish/>
        </w:rPr>
      </w:pPr>
      <w:r>
        <w:rPr>
          <w:rFonts w:cs="Arial" w:ascii="Arial" w:hAnsi="Arial"/>
          <w:vanish/>
        </w:rPr>
        <w:t>Bas du formulaire</w:t>
      </w:r>
    </w:p>
    <w:p>
      <w:pPr>
        <w:pStyle w:val="Titre2"/>
        <w:rPr>
          <w:sz w:val="24"/>
          <w:szCs w:val="24"/>
        </w:rPr>
      </w:pPr>
      <w:r>
        <w:rPr>
          <w:sz w:val="24"/>
          <w:szCs w:val="24"/>
        </w:rPr>
        <w:t>Mise en œuvre du suivi cinétique</w:t>
      </w:r>
    </w:p>
    <w:p>
      <w:pPr>
        <w:pStyle w:val="Entte"/>
        <w:rPr/>
      </w:pPr>
      <w:r>
        <w:rPr/>
        <w:t>La réaction d’oxydoréduction choisie est celle entre les ions peroxodisulfate et les ions iodure :</w:t>
      </w:r>
    </w:p>
    <w:p>
      <w:pPr>
        <w:pStyle w:val="Entte"/>
        <w:jc w:val="center"/>
        <w:rPr>
          <w:b/>
          <w:b/>
          <w:bCs/>
        </w:rPr>
      </w:pPr>
      <w:r>
        <w:rPr/>
        <w:object>
          <v:shape id="ole_rId19" style="width:197pt;height:21pt" o:ole="">
            <v:imagedata r:id="rId20" o:title=""/>
          </v:shape>
          <o:OLEObject Type="Embed" ProgID="Equation.DSMT4" ShapeID="ole_rId19" DrawAspect="Content" ObjectID="_1916802484" r:id="rId19"/>
        </w:object>
      </w:r>
    </w:p>
    <w:p>
      <w:pPr>
        <w:pStyle w:val="Entte"/>
        <w:rPr/>
      </w:pPr>
      <w:r>
        <w:rPr/>
      </w:r>
    </w:p>
    <w:p>
      <w:pPr>
        <w:pStyle w:val="Normal"/>
        <w:rPr>
          <w:b/>
          <w:b/>
          <w:bCs/>
        </w:rPr>
      </w:pPr>
      <w:r>
        <w:rPr>
          <w:b/>
          <w:bCs/>
        </w:rPr>
        <w:t xml:space="preserve">Protocole expérimental : </w:t>
      </w:r>
    </w:p>
    <w:p>
      <w:pPr>
        <w:pStyle w:val="Normal"/>
        <w:rPr/>
      </w:pPr>
      <w:r>
        <w:rPr/>
        <w:t>On dispose d’un volume V</w:t>
      </w:r>
      <w:r>
        <w:rPr>
          <w:vertAlign w:val="subscript"/>
        </w:rPr>
        <w:t>1</w:t>
      </w:r>
      <w:r>
        <w:rPr/>
        <w:t xml:space="preserve"> = 10,0 mL de solution de peroxodisulfate de sodium de concentration c1 = 4,0.10</w:t>
      </w:r>
      <w:r>
        <w:rPr>
          <w:vertAlign w:val="superscript"/>
        </w:rPr>
        <w:t>-3</w:t>
      </w:r>
      <w:r>
        <w:rPr/>
        <w:t xml:space="preserve"> mol.L</w:t>
      </w:r>
      <w:r>
        <w:rPr>
          <w:vertAlign w:val="superscript"/>
        </w:rPr>
        <w:t>-1</w:t>
      </w:r>
      <w:r>
        <w:rPr/>
        <w:t xml:space="preserve">. </w:t>
      </w:r>
    </w:p>
    <w:p>
      <w:pPr>
        <w:pStyle w:val="Normal"/>
        <w:rPr/>
      </w:pPr>
      <w:r>
        <w:rPr/>
        <w:t>On verse rapidement dans ce bécher un volume V</w:t>
      </w:r>
      <w:r>
        <w:rPr>
          <w:vertAlign w:val="subscript"/>
        </w:rPr>
        <w:t>2</w:t>
      </w:r>
      <w:r>
        <w:rPr/>
        <w:t xml:space="preserve"> = 200,0 mL de solution d'iodure de potassium de concentration c</w:t>
      </w:r>
      <w:r>
        <w:rPr>
          <w:vertAlign w:val="subscript"/>
        </w:rPr>
        <w:t>1</w:t>
      </w:r>
      <w:r>
        <w:rPr/>
        <w:t>= 4,0.10</w:t>
      </w:r>
      <w:r>
        <w:rPr>
          <w:vertAlign w:val="superscript"/>
        </w:rPr>
        <w:t>-3</w:t>
      </w:r>
      <w:r>
        <w:rPr/>
        <w:t xml:space="preserve"> mol.L</w:t>
      </w:r>
      <w:r>
        <w:rPr>
          <w:vertAlign w:val="superscript"/>
        </w:rPr>
        <w:t>-1</w:t>
      </w:r>
      <w:r>
        <w:rPr/>
        <w:t xml:space="preserve"> en déclenchant le chronomètre (cet instant initial correspond à la commande "lancer" de la simulation). </w:t>
      </w:r>
    </w:p>
    <w:p>
      <w:pPr>
        <w:pStyle w:val="Normal"/>
        <w:rPr/>
      </w:pPr>
      <w:r>
        <w:rPr/>
      </w:r>
    </w:p>
    <w:p>
      <w:pPr>
        <w:pStyle w:val="NoSpacing"/>
        <w:rPr>
          <w:rFonts w:ascii="Arial" w:hAnsi="Arial" w:cs="Comic Sans MS"/>
          <w:sz w:val="24"/>
          <w:szCs w:val="24"/>
        </w:rPr>
      </w:pPr>
      <w:r>
        <w:rPr>
          <w:rFonts w:cs="Comic Sans MS" w:ascii="Arial" w:hAnsi="Arial"/>
          <w:sz w:val="24"/>
          <w:szCs w:val="24"/>
        </w:rPr>
        <w:t>Toutes les espèces chimiques sont incolores sauf le diiode I</w:t>
      </w:r>
      <w:r>
        <w:rPr>
          <w:rFonts w:cs="Comic Sans MS" w:ascii="Arial" w:hAnsi="Arial"/>
          <w:sz w:val="24"/>
          <w:szCs w:val="24"/>
          <w:vertAlign w:val="subscript"/>
        </w:rPr>
        <w:t>2(aq)</w:t>
      </w:r>
      <w:r>
        <w:rPr>
          <w:rFonts w:cs="Comic Sans MS" w:ascii="Arial" w:hAnsi="Arial"/>
          <w:sz w:val="24"/>
          <w:szCs w:val="24"/>
        </w:rPr>
        <w:t xml:space="preserve"> qui prend une coloration marron foncée.</w:t>
      </w:r>
    </w:p>
    <w:p>
      <w:pPr>
        <w:pStyle w:val="NoSpacing"/>
        <w:rPr>
          <w:rFonts w:ascii="Arial" w:hAnsi="Arial" w:cs="Comic Sans MS"/>
          <w:sz w:val="24"/>
          <w:szCs w:val="24"/>
        </w:rPr>
      </w:pPr>
      <w:r>
        <w:rPr>
          <w:rFonts w:cs="Comic Sans MS" w:ascii="Arial" w:hAnsi="Arial"/>
          <w:sz w:val="24"/>
          <w:szCs w:val="24"/>
        </w:rPr>
      </w:r>
    </w:p>
    <w:p>
      <w:pPr>
        <w:pStyle w:val="Normal"/>
        <w:rPr>
          <w:b/>
          <w:b/>
          <w:bCs/>
        </w:rPr>
      </w:pPr>
      <w:r>
        <w:rPr>
          <w:b/>
          <w:bCs/>
        </w:rPr>
        <w:t xml:space="preserve">1- suivi spectrophotométrique </w:t>
      </w:r>
    </w:p>
    <w:p>
      <w:pPr>
        <w:pStyle w:val="Normal"/>
        <w:rPr>
          <w:b/>
          <w:b/>
          <w:bCs/>
        </w:rPr>
      </w:pPr>
      <w:r>
        <w:rPr>
          <w:b/>
          <w:bCs/>
        </w:rPr>
      </w:r>
    </w:p>
    <w:p>
      <w:pPr>
        <w:pStyle w:val="Normal"/>
        <w:rPr/>
      </w:pPr>
      <w:r>
        <w:rPr/>
        <w:t>Justifier l’usage d’un spectrophotomètre pour suivre l’évolution de cette transformation.</w:t>
      </w:r>
    </w:p>
    <w:p>
      <w:pPr>
        <w:pStyle w:val="Entte"/>
        <w:rPr/>
      </w:pPr>
      <w:r>
        <w:rPr/>
      </w:r>
    </w:p>
    <w:p>
      <w:pPr>
        <w:pStyle w:val="Entte"/>
        <w:rPr>
          <w:b/>
          <w:b/>
          <w:bCs/>
        </w:rPr>
      </w:pPr>
      <w:r>
        <w:rPr>
          <w:b/>
          <w:bCs/>
        </w:rPr>
        <w:t>2- état initial et final du système</w:t>
      </w:r>
    </w:p>
    <w:p>
      <w:pPr>
        <w:pStyle w:val="Entte"/>
        <w:rPr/>
      </w:pPr>
      <w:r>
        <w:rPr/>
      </w:r>
    </w:p>
    <w:p>
      <w:pPr>
        <w:pStyle w:val="Entte"/>
        <w:rPr/>
      </w:pPr>
      <w:r>
        <w:rPr/>
        <w:t>Déterminer les quantités de réactifs introduits à l'état initial :</w:t>
      </w:r>
    </w:p>
    <w:p>
      <w:pPr>
        <w:pStyle w:val="Entte"/>
        <w:rPr/>
      </w:pPr>
      <w:r>
        <w:rPr/>
        <w:t>n(S</w:t>
      </w:r>
      <w:r>
        <w:rPr>
          <w:rStyle w:val="Opclozetxttlind"/>
          <w:vertAlign w:val="subscript"/>
        </w:rPr>
        <w:t>2</w:t>
      </w:r>
      <w:r>
        <w:rPr/>
        <w:t>O</w:t>
      </w:r>
      <w:r>
        <w:rPr>
          <w:rStyle w:val="Opclozetxttlind"/>
          <w:vertAlign w:val="subscript"/>
        </w:rPr>
        <w:t>8</w:t>
      </w:r>
      <w:r>
        <w:rPr>
          <w:rStyle w:val="Opclozetxttlexp"/>
          <w:vertAlign w:val="superscript"/>
        </w:rPr>
        <w:t>2-</w:t>
      </w:r>
      <w:r>
        <w:rPr/>
        <w:t>)</w:t>
      </w:r>
      <w:r>
        <w:rPr>
          <w:rStyle w:val="Opclozetxttlind"/>
          <w:vertAlign w:val="subscript"/>
        </w:rPr>
        <w:t>i</w:t>
      </w:r>
      <w:r>
        <w:rPr>
          <w:vertAlign w:val="subscript"/>
        </w:rPr>
        <w:t xml:space="preserve"> </w:t>
      </w:r>
      <w:r>
        <w:rPr/>
        <w:t>=</w:t>
      </w:r>
    </w:p>
    <w:p>
      <w:pPr>
        <w:pStyle w:val="Entte"/>
        <w:rPr/>
      </w:pPr>
      <w:r>
        <w:rPr/>
        <w:t>n(I</w:t>
      </w:r>
      <w:r>
        <w:rPr>
          <w:vertAlign w:val="superscript"/>
        </w:rPr>
        <w:t>-</w:t>
      </w:r>
      <w:r>
        <w:rPr/>
        <w:t>)</w:t>
      </w:r>
      <w:r>
        <w:rPr>
          <w:vertAlign w:val="subscript"/>
        </w:rPr>
        <w:t>i</w:t>
      </w:r>
      <w:r>
        <w:rPr/>
        <w:t xml:space="preserve"> =</w:t>
      </w:r>
    </w:p>
    <w:p>
      <w:pPr>
        <w:pStyle w:val="Entte"/>
        <w:rPr/>
      </w:pPr>
      <w:r>
        <w:rPr/>
      </w:r>
    </w:p>
    <w:p>
      <w:pPr>
        <w:pStyle w:val="Entte"/>
        <w:rPr/>
      </w:pPr>
      <w:r>
        <w:rPr/>
        <w:t>Tableau d’avancement de la transformation (exprimer les quantités en mol) :</w:t>
      </w:r>
    </w:p>
    <w:tbl>
      <w:tblPr>
        <w:tblW w:w="9286"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1" w:noVBand="1" w:lastRow="0" w:firstColumn="1" w:lastColumn="0" w:noHBand="0" w:val="04a0"/>
      </w:tblPr>
      <w:tblGrid>
        <w:gridCol w:w="1950"/>
        <w:gridCol w:w="1844"/>
        <w:gridCol w:w="1843"/>
        <w:gridCol w:w="1417"/>
        <w:gridCol w:w="2232"/>
      </w:tblGrid>
      <w:tr>
        <w:trPr/>
        <w:tc>
          <w:tcPr>
            <w:tcW w:w="928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Entte"/>
              <w:jc w:val="right"/>
              <w:rPr/>
            </w:pPr>
            <w:r>
              <w:rPr/>
              <w:object>
                <v:shape id="ole_rId21" style="width:359.9pt;height:21pt" o:ole="">
                  <v:imagedata r:id="rId22" o:title=""/>
                </v:shape>
                <o:OLEObject Type="Embed" ProgID="Equation.DSMT4" ShapeID="ole_rId21" DrawAspect="Content" ObjectID="_1254702546" r:id="rId21"/>
              </w:object>
            </w:r>
          </w:p>
        </w:tc>
      </w:tr>
      <w:tr>
        <w:trPr/>
        <w:tc>
          <w:tcPr>
            <w:tcW w:w="19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Entte"/>
              <w:rPr/>
            </w:pPr>
            <w:r>
              <w:rPr/>
              <w:t>Etat initial</w:t>
            </w:r>
          </w:p>
          <w:p>
            <w:pPr>
              <w:pStyle w:val="Entte"/>
              <w:rPr/>
            </w:pPr>
            <w:r>
              <w:rPr/>
              <w:t>x = 0</w:t>
            </w:r>
          </w:p>
        </w:tc>
        <w:tc>
          <w:tcPr>
            <w:tcW w:w="1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t>n(S</w:t>
            </w:r>
            <w:r>
              <w:rPr>
                <w:rStyle w:val="Opclozetxttlind"/>
                <w:vertAlign w:val="subscript"/>
              </w:rPr>
              <w:t>2</w:t>
            </w:r>
            <w:r>
              <w:rPr/>
              <w:t>O</w:t>
            </w:r>
            <w:r>
              <w:rPr>
                <w:rStyle w:val="Opclozetxttlind"/>
                <w:vertAlign w:val="subscript"/>
              </w:rPr>
              <w:t>8</w:t>
            </w:r>
            <w:r>
              <w:rPr>
                <w:rStyle w:val="Opclozetxttlexp"/>
                <w:vertAlign w:val="superscript"/>
              </w:rPr>
              <w:t>2-</w:t>
            </w:r>
            <w:r>
              <w:rPr/>
              <w:t>)</w:t>
            </w:r>
            <w:r>
              <w:rPr>
                <w:rStyle w:val="Opclozetxttlind"/>
                <w:vertAlign w:val="subscript"/>
              </w:rPr>
              <w:t>i</w:t>
            </w:r>
            <w:r>
              <w:rPr>
                <w:vertAlign w:val="subscript"/>
              </w:rPr>
              <w:t xml:space="preserve"> </w:t>
            </w:r>
            <w:r>
              <w:rPr/>
              <w:t>=</w:t>
            </w:r>
          </w:p>
        </w:tc>
        <w:tc>
          <w:tcPr>
            <w:tcW w:w="18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t>n(I</w:t>
            </w:r>
            <w:r>
              <w:rPr>
                <w:vertAlign w:val="superscript"/>
              </w:rPr>
              <w:t>-</w:t>
            </w:r>
            <w:r>
              <w:rPr/>
              <w:t>)</w:t>
            </w:r>
            <w:r>
              <w:rPr>
                <w:vertAlign w:val="subscript"/>
              </w:rPr>
              <w:t>i</w:t>
            </w:r>
            <w:r>
              <w:rPr/>
              <w:t xml:space="preserve"> =</w:t>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t>n(I</w:t>
            </w:r>
            <w:r>
              <w:rPr>
                <w:vertAlign w:val="subscript"/>
              </w:rPr>
              <w:t>2</w:t>
            </w:r>
            <w:r>
              <w:rPr/>
              <w:t>)</w:t>
            </w:r>
            <w:r>
              <w:rPr>
                <w:vertAlign w:val="subscript"/>
              </w:rPr>
              <w:t>i</w:t>
            </w:r>
            <w:r>
              <w:rPr/>
              <w:t xml:space="preserve"> =</w:t>
            </w:r>
          </w:p>
        </w:tc>
        <w:tc>
          <w:tcPr>
            <w:tcW w:w="22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t>n(SO</w:t>
            </w:r>
            <w:r>
              <w:rPr>
                <w:rStyle w:val="Opclozetxttlind"/>
                <w:vertAlign w:val="subscript"/>
              </w:rPr>
              <w:t>4</w:t>
            </w:r>
            <w:r>
              <w:rPr>
                <w:rStyle w:val="Opclozetxttlexp"/>
                <w:vertAlign w:val="superscript"/>
              </w:rPr>
              <w:t>2-</w:t>
            </w:r>
            <w:r>
              <w:rPr/>
              <w:t>)</w:t>
            </w:r>
            <w:r>
              <w:rPr>
                <w:rStyle w:val="Opclozetxttlind"/>
                <w:vertAlign w:val="subscript"/>
              </w:rPr>
              <w:t>i</w:t>
            </w:r>
            <w:r>
              <w:rPr>
                <w:vertAlign w:val="subscript"/>
              </w:rPr>
              <w:t xml:space="preserve"> </w:t>
            </w:r>
            <w:r>
              <w:rPr/>
              <w:t>=</w:t>
            </w:r>
          </w:p>
        </w:tc>
      </w:tr>
      <w:tr>
        <w:trPr/>
        <w:tc>
          <w:tcPr>
            <w:tcW w:w="19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Entte"/>
              <w:rPr/>
            </w:pPr>
            <w:r>
              <w:rPr/>
              <w:t>Etat intermédiaire x</w:t>
            </w:r>
          </w:p>
        </w:tc>
        <w:tc>
          <w:tcPr>
            <w:tcW w:w="1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c>
          <w:tcPr>
            <w:tcW w:w="18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c>
          <w:tcPr>
            <w:tcW w:w="22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r>
      <w:tr>
        <w:trPr/>
        <w:tc>
          <w:tcPr>
            <w:tcW w:w="19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Entte"/>
              <w:rPr/>
            </w:pPr>
            <w:r>
              <w:rPr/>
              <w:t xml:space="preserve">Etat final </w:t>
            </w:r>
          </w:p>
          <w:p>
            <w:pPr>
              <w:pStyle w:val="Entte"/>
              <w:rPr/>
            </w:pPr>
            <w:r>
              <w:rPr/>
              <w:t>x =</w:t>
            </w:r>
          </w:p>
        </w:tc>
        <w:tc>
          <w:tcPr>
            <w:tcW w:w="1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c>
          <w:tcPr>
            <w:tcW w:w="18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c>
          <w:tcPr>
            <w:tcW w:w="22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Entte"/>
              <w:rPr/>
            </w:pPr>
            <w:r>
              <w:rPr/>
            </w:r>
          </w:p>
        </w:tc>
      </w:tr>
    </w:tbl>
    <w:p>
      <w:pPr>
        <w:pStyle w:val="Entte"/>
        <w:rPr/>
      </w:pPr>
      <w:r>
        <w:rPr/>
      </w:r>
    </w:p>
    <w:p>
      <w:pPr>
        <w:pStyle w:val="Entte"/>
        <w:rPr/>
      </w:pPr>
      <w:r>
        <w:rPr/>
        <w:t>Quelle est la valeur de l’avancement maximal ?</w:t>
      </w:r>
    </w:p>
    <w:p>
      <w:pPr>
        <w:pStyle w:val="Entte"/>
        <w:rPr/>
      </w:pPr>
      <w:r>
        <w:rPr/>
        <w:t>Quel est le réactif limitant ?</w:t>
      </w:r>
    </w:p>
    <w:p>
      <w:pPr>
        <w:pStyle w:val="Entte"/>
        <w:rPr/>
      </w:pPr>
      <w:r>
        <w:rPr/>
        <w:t>Compléter le tableau d’avancement</w:t>
      </w:r>
    </w:p>
    <w:p>
      <w:pPr>
        <w:pStyle w:val="Normal"/>
        <w:rPr/>
      </w:pPr>
      <w:r>
        <w:rPr/>
        <w:t>Calculer la concentration du diiode dans le mélange réactionnel à l'état final.</w:t>
      </w:r>
    </w:p>
    <w:p>
      <w:pPr>
        <w:pStyle w:val="Entte"/>
        <w:rPr/>
      </w:pPr>
      <w:r>
        <w:rPr/>
      </w:r>
    </w:p>
    <w:p>
      <w:pPr>
        <w:pStyle w:val="Entte"/>
        <w:rPr>
          <w:b/>
          <w:b/>
          <w:bCs/>
        </w:rPr>
      </w:pPr>
      <w:r>
        <w:rPr>
          <w:b/>
          <w:bCs/>
        </w:rPr>
        <w:t>3- Evolution temporelle d’un système chimique</w:t>
      </w:r>
    </w:p>
    <w:p>
      <w:pPr>
        <w:pStyle w:val="Entte"/>
        <w:rPr>
          <w:b/>
          <w:b/>
          <w:bCs/>
        </w:rPr>
      </w:pPr>
      <w:r>
        <w:rPr>
          <w:b/>
          <w:bCs/>
        </w:rPr>
      </w:r>
    </w:p>
    <w:p>
      <w:pPr>
        <w:pStyle w:val="NoSpacing"/>
        <w:rPr/>
      </w:pPr>
      <w:r>
        <w:rPr>
          <w:rFonts w:cs="Comic Sans MS" w:ascii="Arial" w:hAnsi="Arial"/>
          <w:b/>
          <w:bCs/>
          <w:sz w:val="24"/>
          <w:szCs w:val="24"/>
        </w:rPr>
        <w:t xml:space="preserve">Usage du simulateur de M. Labatut : </w:t>
      </w:r>
      <w:hyperlink r:id="rId23">
        <w:r>
          <w:rPr>
            <w:rStyle w:val="LienInternet"/>
            <w:b/>
            <w:bCs/>
            <w:sz w:val="24"/>
            <w:szCs w:val="24"/>
          </w:rPr>
          <w:t>http://scphysiques.free.fr/TS/chimieTS/vitesse.swf</w:t>
        </w:r>
      </w:hyperlink>
    </w:p>
    <w:p>
      <w:pPr>
        <w:pStyle w:val="Entte"/>
        <w:rPr>
          <w:b/>
          <w:b/>
          <w:bCs/>
        </w:rPr>
      </w:pPr>
      <w:r>
        <w:rPr>
          <w:b/>
          <w:bCs/>
        </w:rPr>
      </w:r>
    </w:p>
    <w:p>
      <w:pPr>
        <w:pStyle w:val="Normal"/>
        <w:rPr>
          <w:b/>
          <w:b/>
          <w:bCs/>
        </w:rPr>
      </w:pPr>
      <w:r>
        <w:rPr>
          <w:b/>
          <w:bCs/>
        </w:rPr>
        <w:t>A- Commentaire de l’évolution de la transformation chimique d’un système</w:t>
      </w:r>
    </w:p>
    <w:p>
      <w:pPr>
        <w:pStyle w:val="Normal"/>
        <w:rPr>
          <w:b/>
          <w:b/>
          <w:bCs/>
        </w:rPr>
      </w:pPr>
      <w:r>
        <w:rPr>
          <w:b/>
          <w:bCs/>
        </w:rPr>
      </w:r>
    </w:p>
    <w:p>
      <w:pPr>
        <w:pStyle w:val="Normal"/>
        <w:rPr>
          <w:i/>
          <w:i/>
          <w:iCs/>
        </w:rPr>
      </w:pPr>
      <w:r>
        <w:rPr>
          <w:i/>
          <w:iCs/>
        </w:rPr>
        <w:t xml:space="preserve">Inclure une image de votre première simulation </w:t>
      </w:r>
    </w:p>
    <w:p>
      <w:pPr>
        <w:pStyle w:val="Normal"/>
        <w:rPr>
          <w:b/>
          <w:b/>
          <w:bCs/>
        </w:rPr>
      </w:pPr>
      <w:r>
        <w:rPr>
          <w:b/>
          <w:bCs/>
        </w:rPr>
      </w:r>
    </w:p>
    <w:p>
      <w:pPr>
        <w:pStyle w:val="Normal"/>
        <w:rPr/>
      </w:pPr>
      <w:r>
        <w:rPr/>
        <w:t>1) Quelle est la durée de la transformation chimique pour atteindre son état final ?</w:t>
      </w:r>
    </w:p>
    <w:p>
      <w:pPr>
        <w:pStyle w:val="Normal"/>
        <w:rPr/>
      </w:pPr>
      <w:r>
        <w:rPr/>
        <w:t>2) Qu’est ce qui prouve qu’elle a atteint son état final ?</w:t>
      </w:r>
    </w:p>
    <w:p>
      <w:pPr>
        <w:pStyle w:val="Normal"/>
        <w:rPr/>
      </w:pPr>
      <w:r>
        <w:rPr/>
        <w:t>3) Que peut-on en déduire quant aux transformations chimiques au sein du système ?</w:t>
      </w:r>
    </w:p>
    <w:p>
      <w:pPr>
        <w:pStyle w:val="Normal"/>
        <w:rPr>
          <w:b/>
          <w:b/>
          <w:bCs/>
        </w:rPr>
      </w:pPr>
      <w:r>
        <w:rPr>
          <w:b/>
          <w:bCs/>
        </w:rPr>
      </w:r>
    </w:p>
    <w:p>
      <w:pPr>
        <w:pStyle w:val="Normal"/>
        <w:rPr>
          <w:b/>
          <w:b/>
          <w:bCs/>
        </w:rPr>
      </w:pPr>
      <w:r>
        <w:rPr>
          <w:b/>
          <w:bCs/>
        </w:rPr>
        <w:t>B- Evolution temporelle et facteurs d’influence</w:t>
      </w:r>
    </w:p>
    <w:p>
      <w:pPr>
        <w:pStyle w:val="Normal"/>
        <w:rPr>
          <w:b/>
          <w:b/>
          <w:bCs/>
        </w:rPr>
      </w:pPr>
      <w:r>
        <w:rPr>
          <w:b/>
          <w:bCs/>
        </w:rPr>
      </w:r>
    </w:p>
    <w:p>
      <w:pPr>
        <w:pStyle w:val="Normal"/>
        <w:rPr/>
      </w:pPr>
      <w:r>
        <w:rPr/>
        <w:t>1) Définir le temps de demi-réaction (cours, livre)</w:t>
      </w:r>
    </w:p>
    <w:p>
      <w:pPr>
        <w:pStyle w:val="Normal"/>
        <w:rPr/>
      </w:pPr>
      <w:r>
        <w:rPr/>
        <w:t>2) Commenter l’influence de deux facteurs prépondérants (testés avec le simulateur)</w:t>
      </w:r>
    </w:p>
    <w:p>
      <w:pPr>
        <w:pStyle w:val="Normal"/>
        <w:rPr/>
      </w:pPr>
      <w:r>
        <w:rPr/>
        <w:t>- la température</w:t>
      </w:r>
    </w:p>
    <w:p>
      <w:pPr>
        <w:pStyle w:val="Normal"/>
        <w:rPr/>
      </w:pPr>
      <w:r>
        <w:rPr/>
        <w:t>- la concentration</w:t>
      </w:r>
    </w:p>
    <w:p>
      <w:pPr>
        <w:pStyle w:val="NoSpacing"/>
        <w:rPr>
          <w:b/>
          <w:b/>
          <w:bCs/>
          <w:sz w:val="24"/>
          <w:szCs w:val="24"/>
        </w:rPr>
      </w:pPr>
      <w:r>
        <w:rPr>
          <w:i/>
          <w:iCs/>
          <w:sz w:val="24"/>
          <w:szCs w:val="24"/>
        </w:rPr>
        <w:t xml:space="preserve">En incluant un graphe représentatif pour chaque facteur </w:t>
      </w:r>
    </w:p>
    <w:p>
      <w:pPr>
        <w:pStyle w:val="Normal"/>
        <w:rPr>
          <w:i/>
          <w:i/>
          <w:iCs/>
        </w:rPr>
      </w:pPr>
      <w:r>
        <w:rPr>
          <w:i/>
          <w:iCs/>
        </w:rPr>
      </w:r>
    </w:p>
    <w:p>
      <w:pPr>
        <w:pStyle w:val="Normal"/>
        <w:rPr/>
      </w:pPr>
      <w:r>
        <w:rPr/>
      </w:r>
    </w:p>
    <w:p>
      <w:pPr>
        <w:pStyle w:val="Normal"/>
        <w:rPr/>
      </w:pPr>
      <w:r>
        <w:rPr/>
        <w:t>3) Rechercher et</w:t>
      </w:r>
      <w:r>
        <w:rPr>
          <w:b/>
          <w:bCs/>
        </w:rPr>
        <w:t xml:space="preserve"> rédiger les raisons</w:t>
      </w:r>
      <w:r>
        <w:rPr/>
        <w:t xml:space="preserve"> de cette influence pour chaque facteur en vous appuyant sur les autres simulateurs et/ou cours (papier, vidéos)</w:t>
      </w:r>
    </w:p>
    <w:p>
      <w:pPr>
        <w:pStyle w:val="Normal"/>
        <w:rPr>
          <w:b/>
          <w:b/>
          <w:bCs/>
        </w:rPr>
      </w:pPr>
      <w:r>
        <w:rPr>
          <w:b/>
          <w:bCs/>
        </w:rPr>
      </w:r>
    </w:p>
    <w:p>
      <w:pPr>
        <w:pStyle w:val="Normal"/>
        <w:numPr>
          <w:ilvl w:val="0"/>
          <w:numId w:val="2"/>
        </w:numPr>
        <w:jc w:val="both"/>
        <w:rPr/>
      </w:pPr>
      <w:r>
        <w:rPr/>
        <w:t> </w:t>
      </w:r>
      <w:hyperlink r:id="rId24" w:tgtFrame="_blank">
        <w:r>
          <w:rPr>
            <w:rStyle w:val="LienInternet"/>
          </w:rPr>
          <w:t>https://www.edumedia-sciences.com/fr/media/564-facteur-cinetique</w:t>
        </w:r>
      </w:hyperlink>
      <w:r>
        <w:rPr/>
        <w:t> (accès illimité chez edumédia durant la crise : nom : covid19, mdp : edumedia)</w:t>
      </w:r>
    </w:p>
    <w:p>
      <w:pPr>
        <w:pStyle w:val="Normal"/>
        <w:numPr>
          <w:ilvl w:val="0"/>
          <w:numId w:val="2"/>
        </w:numPr>
        <w:jc w:val="both"/>
        <w:rPr/>
      </w:pPr>
      <w:hyperlink r:id="rId25">
        <w:r>
          <w:rPr>
            <w:rStyle w:val="LienInternet"/>
          </w:rPr>
          <w:t>http://pccl.fr/physique_chimie_college_lycee/lycee/terminale_TS/facteur_cinetique_temperature.htm</w:t>
        </w:r>
      </w:hyperlink>
    </w:p>
    <w:p>
      <w:pPr>
        <w:pStyle w:val="Normal"/>
        <w:numPr>
          <w:ilvl w:val="0"/>
          <w:numId w:val="2"/>
        </w:numPr>
        <w:jc w:val="both"/>
        <w:rPr/>
      </w:pPr>
      <w:hyperlink r:id="rId26">
        <w:r>
          <w:rPr>
            <w:rStyle w:val="LienInternet"/>
          </w:rPr>
          <w:t>http://pccl.fr/physique_chimie_college_lycee/lycee/terminale_TS/facteur_cinetique_concentration.htm</w:t>
        </w:r>
      </w:hyperlink>
    </w:p>
    <w:p>
      <w:pPr>
        <w:pStyle w:val="Normal"/>
        <w:rPr>
          <w:b/>
          <w:b/>
          <w:bCs/>
        </w:rPr>
      </w:pPr>
      <w:r>
        <w:rPr>
          <w:b/>
          <w:bCs/>
        </w:rPr>
      </w:r>
    </w:p>
    <w:p>
      <w:pPr>
        <w:pStyle w:val="Normal"/>
        <w:rPr>
          <w:b/>
          <w:b/>
          <w:bCs/>
        </w:rPr>
      </w:pPr>
      <w:r>
        <w:rPr>
          <w:b/>
          <w:bCs/>
        </w:rPr>
        <w:t xml:space="preserve">Cours </w:t>
      </w:r>
    </w:p>
    <w:p>
      <w:pPr>
        <w:pStyle w:val="Normal"/>
        <w:numPr>
          <w:ilvl w:val="0"/>
          <w:numId w:val="2"/>
        </w:numPr>
        <w:jc w:val="both"/>
        <w:rPr/>
      </w:pPr>
      <w:r>
        <w:rPr/>
        <w:t xml:space="preserve">I. Tarride : </w:t>
      </w:r>
      <w:hyperlink r:id="rId27">
        <w:r>
          <w:rPr>
            <w:rStyle w:val="LienInternet"/>
          </w:rPr>
          <w:t>https://www.youtube.com/watch?v=IoZvvk13vAg</w:t>
        </w:r>
      </w:hyperlink>
      <w:r>
        <w:rPr/>
        <w:t xml:space="preserve"> (5 min)</w:t>
      </w:r>
    </w:p>
    <w:p>
      <w:pPr>
        <w:pStyle w:val="Normal"/>
        <w:numPr>
          <w:ilvl w:val="0"/>
          <w:numId w:val="2"/>
        </w:numPr>
        <w:jc w:val="both"/>
        <w:rPr/>
      </w:pPr>
      <w:r>
        <w:rPr/>
        <w:t xml:space="preserve">Cours Stella : </w:t>
      </w:r>
      <w:hyperlink r:id="rId28">
        <w:r>
          <w:rPr>
            <w:rStyle w:val="LienInternet"/>
          </w:rPr>
          <w:t>https://www.youtube.com/watch?v=55p4A1IGGpA</w:t>
        </w:r>
      </w:hyperlink>
      <w:r>
        <w:rPr/>
        <w:t xml:space="preserve"> </w:t>
      </w:r>
    </w:p>
    <w:p>
      <w:pPr>
        <w:pStyle w:val="Normal"/>
        <w:ind w:left="360" w:hanging="0"/>
        <w:rPr/>
      </w:pPr>
      <w:r>
        <w:rPr/>
      </w:r>
    </w:p>
    <w:p>
      <w:pPr>
        <w:pStyle w:val="Normal"/>
        <w:rPr>
          <w:b/>
          <w:b/>
          <w:bCs/>
        </w:rPr>
      </w:pPr>
      <w:r>
        <w:rPr>
          <w:b/>
          <w:bCs/>
        </w:rPr>
        <w:t>C- Autres facteurs d’influence</w:t>
      </w:r>
    </w:p>
    <w:p>
      <w:pPr>
        <w:pStyle w:val="Normal"/>
        <w:rPr/>
      </w:pPr>
      <w:r>
        <w:rPr/>
      </w:r>
    </w:p>
    <w:p>
      <w:pPr>
        <w:pStyle w:val="Normal"/>
        <w:rPr/>
      </w:pPr>
      <w:r>
        <w:rPr/>
        <w:t xml:space="preserve">A partir d’un site scientifique :  </w:t>
      </w:r>
      <w:r>
        <w:rPr>
          <w:b/>
          <w:bCs/>
        </w:rPr>
        <w:t>définir de manière générale par écrit la catalyse</w:t>
      </w:r>
    </w:p>
    <w:p>
      <w:pPr>
        <w:pStyle w:val="Normal"/>
        <w:rPr>
          <w:b/>
          <w:b/>
          <w:bCs/>
        </w:rPr>
      </w:pPr>
      <w:r>
        <w:rPr>
          <w:b/>
          <w:bCs/>
        </w:rPr>
      </w:r>
    </w:p>
    <w:p>
      <w:pPr>
        <w:pStyle w:val="Normal"/>
        <w:rPr/>
      </w:pPr>
      <w:r>
        <w:rPr/>
        <w:t>Et ses spécificités :</w:t>
      </w:r>
    </w:p>
    <w:p>
      <w:pPr>
        <w:pStyle w:val="Normal"/>
        <w:rPr>
          <w:b/>
          <w:b/>
          <w:bCs/>
        </w:rPr>
      </w:pPr>
      <w:r>
        <w:rPr>
          <w:b/>
          <w:bCs/>
        </w:rPr>
        <w:t>- catalyse homogène</w:t>
      </w:r>
    </w:p>
    <w:p>
      <w:pPr>
        <w:pStyle w:val="Normal"/>
        <w:rPr>
          <w:b/>
          <w:b/>
          <w:bCs/>
        </w:rPr>
      </w:pPr>
      <w:r>
        <w:rPr>
          <w:b/>
          <w:bCs/>
        </w:rPr>
        <w:t>- catalyse hétérogène</w:t>
      </w:r>
    </w:p>
    <w:p>
      <w:pPr>
        <w:pStyle w:val="Normal"/>
        <w:rPr>
          <w:b/>
          <w:b/>
          <w:bCs/>
        </w:rPr>
      </w:pPr>
      <w:r>
        <w:rPr>
          <w:b/>
          <w:bCs/>
        </w:rPr>
        <w:t xml:space="preserve">- catalyse enzymatique </w:t>
      </w:r>
    </w:p>
    <w:p>
      <w:pPr>
        <w:pStyle w:val="Normal"/>
        <w:rPr/>
      </w:pPr>
      <w:r>
        <w:rPr/>
      </w:r>
    </w:p>
    <w:p>
      <w:pPr>
        <w:pStyle w:val="Normal"/>
        <w:rPr/>
      </w:pPr>
      <w:r>
        <w:rPr/>
        <w:t xml:space="preserve">Propositions de supports </w:t>
      </w:r>
    </w:p>
    <w:p>
      <w:pPr>
        <w:pStyle w:val="Normal"/>
        <w:rPr/>
      </w:pPr>
      <w:hyperlink r:id="rId29">
        <w:r>
          <w:rPr>
            <w:rStyle w:val="LienInternet"/>
          </w:rPr>
          <w:t>https://www.techno-science.net/definition/5931.html</w:t>
        </w:r>
      </w:hyperlink>
    </w:p>
    <w:p>
      <w:pPr>
        <w:pStyle w:val="Normal"/>
        <w:rPr/>
      </w:pPr>
      <w:r>
        <w:rPr/>
      </w:r>
    </w:p>
    <w:p>
      <w:pPr>
        <w:pStyle w:val="Normal"/>
        <w:rPr/>
      </w:pPr>
      <w:hyperlink r:id="rId30">
        <w:r>
          <w:rPr>
            <w:rStyle w:val="LienInternet"/>
          </w:rPr>
          <w:t>https://www.maxicours.com/se/cours/catalyse-homogene-heterogene-et-enzymatique/</w:t>
        </w:r>
      </w:hyperlink>
    </w:p>
    <w:p>
      <w:pPr>
        <w:pStyle w:val="Normal"/>
        <w:rPr/>
      </w:pPr>
      <w:r>
        <w:rPr/>
      </w:r>
    </w:p>
    <w:p>
      <w:pPr>
        <w:pStyle w:val="Normal"/>
        <w:rPr/>
      </w:pPr>
      <w:r>
        <w:rPr/>
        <w:t xml:space="preserve">Vidéo : Les bons profs, la catalyse </w:t>
      </w:r>
      <w:hyperlink r:id="rId31">
        <w:r>
          <w:rPr>
            <w:rStyle w:val="LienInternet"/>
          </w:rPr>
          <w:t>https://www.youtube.com/watch?v=-z3bC8TYQvI</w:t>
        </w:r>
      </w:hyperlink>
    </w:p>
    <w:p>
      <w:pPr>
        <w:pStyle w:val="Normal"/>
        <w:rPr/>
      </w:pPr>
      <w:r>
        <w:rPr/>
      </w:r>
    </w:p>
    <w:p>
      <w:pPr>
        <w:pStyle w:val="Normal"/>
        <w:rPr/>
      </w:pPr>
      <w:r>
        <w:rPr/>
      </w:r>
    </w:p>
    <w:p>
      <w:pPr>
        <w:pStyle w:val="Normal"/>
        <w:rPr>
          <w:b/>
          <w:b/>
          <w:bCs/>
        </w:rPr>
      </w:pPr>
      <w:r>
        <w:rPr>
          <w:b/>
          <w:bCs/>
        </w:rPr>
        <w:t>Pour les Spé SVT : un beau complément, la catalyse enzymatique (non obligatoire)</w:t>
      </w:r>
    </w:p>
    <w:p>
      <w:pPr>
        <w:pStyle w:val="Normal"/>
        <w:rPr/>
      </w:pPr>
      <w:r>
        <w:rPr/>
      </w:r>
    </w:p>
    <w:p>
      <w:pPr>
        <w:pStyle w:val="Normal"/>
        <w:rPr/>
      </w:pPr>
      <w:r>
        <w:drawing>
          <wp:anchor behindDoc="0" distT="0" distB="1905" distL="114300" distR="114300" simplePos="0" locked="0" layoutInCell="1" allowOverlap="1" relativeHeight="8">
            <wp:simplePos x="0" y="0"/>
            <wp:positionH relativeFrom="column">
              <wp:posOffset>4678045</wp:posOffset>
            </wp:positionH>
            <wp:positionV relativeFrom="paragraph">
              <wp:posOffset>155575</wp:posOffset>
            </wp:positionV>
            <wp:extent cx="1943735" cy="1083945"/>
            <wp:effectExtent l="0" t="0" r="0" b="0"/>
            <wp:wrapTight wrapText="bothSides">
              <wp:wrapPolygon edited="0">
                <wp:start x="-50" y="0"/>
                <wp:lineTo x="-50" y="21209"/>
                <wp:lineTo x="21378" y="21209"/>
                <wp:lineTo x="21378" y="0"/>
                <wp:lineTo x="-50" y="0"/>
              </wp:wrapPolygon>
            </wp:wrapTight>
            <wp:docPr id="11"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 descr=""/>
                    <pic:cNvPicPr>
                      <a:picLocks noChangeAspect="1" noChangeArrowheads="1"/>
                    </pic:cNvPicPr>
                  </pic:nvPicPr>
                  <pic:blipFill>
                    <a:blip r:embed="rId32"/>
                    <a:stretch>
                      <a:fillRect/>
                    </a:stretch>
                  </pic:blipFill>
                  <pic:spPr bwMode="auto">
                    <a:xfrm>
                      <a:off x="0" y="0"/>
                      <a:ext cx="1943735" cy="1083945"/>
                    </a:xfrm>
                    <a:prstGeom prst="rect">
                      <a:avLst/>
                    </a:prstGeom>
                  </pic:spPr>
                </pic:pic>
              </a:graphicData>
            </a:graphic>
          </wp:anchor>
        </w:drawing>
      </w:r>
      <w:r>
        <w:rPr/>
        <w:t>S</w:t>
      </w:r>
      <w:r>
        <w:rPr/>
        <w:t xml:space="preserve">ite d’un professeur : </w:t>
      </w:r>
      <w:hyperlink r:id="rId33">
        <w:r>
          <w:rPr>
            <w:rStyle w:val="LienInternet"/>
          </w:rPr>
          <w:t>https://tp-svt.pagesperso-orange.fr/enzym.htm</w:t>
        </w:r>
      </w:hyperlink>
      <w:r>
        <w:rPr/>
        <w:t xml:space="preserve"> </w:t>
      </w:r>
    </w:p>
    <w:p>
      <w:pPr>
        <w:pStyle w:val="Normal"/>
        <w:rPr/>
      </w:pPr>
      <w:r>
        <w:rPr/>
      </w:r>
    </w:p>
    <w:p>
      <w:pPr>
        <w:pStyle w:val="Normal"/>
        <w:rPr/>
      </w:pPr>
      <w:r>
        <w:rPr/>
      </w:r>
    </w:p>
    <w:p>
      <w:pPr>
        <w:pStyle w:val="Normal"/>
        <w:rPr/>
      </w:pPr>
      <w:r>
        <w:rPr/>
        <w:t>Et un logiciel (à installer) :</w:t>
      </w:r>
    </w:p>
    <w:p>
      <w:pPr>
        <w:pStyle w:val="Normal"/>
        <w:rPr/>
      </w:pPr>
      <w:hyperlink r:id="rId34">
        <w:r>
          <w:rPr>
            <w:rStyle w:val="LienInternet"/>
          </w:rPr>
          <w:t>https://www.pedagogie.ac-nice.fr/svt/?p=661</w:t>
        </w:r>
      </w:hyperlink>
    </w:p>
    <w:p>
      <w:pPr>
        <w:pStyle w:val="Normal"/>
        <w:rPr/>
      </w:pPr>
      <w:r>
        <w:rPr/>
        <w:t>en bas de page, téléchargement du logiciel</w:t>
      </w:r>
    </w:p>
    <w:p>
      <w:pPr>
        <w:pStyle w:val="Normal"/>
        <w:rPr/>
      </w:pPr>
      <w:r>
        <w:rPr/>
      </w:r>
    </w:p>
    <w:p>
      <w:pPr>
        <w:pStyle w:val="Normal"/>
        <w:rPr/>
      </w:pPr>
      <w:r>
        <w:rPr/>
      </w:r>
    </w:p>
    <w:p>
      <w:pPr>
        <w:pStyle w:val="Normal"/>
        <w:rPr>
          <w:b/>
          <w:b/>
          <w:bCs/>
        </w:rPr>
      </w:pPr>
      <w:r>
        <w:rPr>
          <w:b/>
          <w:bCs/>
        </w:rPr>
        <w:t>4- Cinétique chimique dans la vie</w:t>
      </w:r>
    </w:p>
    <w:p>
      <w:pPr>
        <w:pStyle w:val="Normal"/>
        <w:rPr/>
      </w:pPr>
      <w:r>
        <w:rPr/>
      </w:r>
    </w:p>
    <w:p>
      <w:pPr>
        <w:pStyle w:val="Normal"/>
        <w:rPr/>
      </w:pPr>
      <w:r>
        <w:rPr/>
        <w:t>Citer 4 domaines distincts où la cinétique chimique est présente et présente un avantage ou un inconvénient.</w:t>
      </w:r>
    </w:p>
    <w:p>
      <w:pPr>
        <w:pStyle w:val="Normal"/>
        <w:jc w:val="center"/>
        <w:rPr>
          <w:b/>
          <w:b/>
        </w:rPr>
      </w:pPr>
      <w:r>
        <w:rPr>
          <w:b/>
        </w:rPr>
      </w:r>
    </w:p>
    <w:p>
      <w:pPr>
        <w:pStyle w:val="Normal"/>
        <w:jc w:val="center"/>
        <w:rPr>
          <w:b/>
          <w:b/>
        </w:rPr>
      </w:pPr>
      <w:r>
        <w:rPr>
          <w:b/>
        </w:rPr>
        <w:t>Comment un pendule permet-il de mesurer un temps ?</w:t>
      </w:r>
    </w:p>
    <w:p>
      <w:pPr>
        <w:pStyle w:val="Normal"/>
        <w:jc w:val="center"/>
        <w:rPr>
          <w:b/>
          <w:b/>
        </w:rPr>
      </w:pPr>
      <w:r>
        <w:rPr>
          <w:b/>
        </w:rPr>
      </w:r>
    </w:p>
    <w:p>
      <w:pPr>
        <w:pStyle w:val="Normal"/>
        <w:rPr>
          <w:b/>
          <w:b/>
          <w:bCs/>
        </w:rPr>
      </w:pPr>
      <w:r>
        <w:drawing>
          <wp:anchor behindDoc="0" distT="0" distB="0" distL="114300" distR="118110" simplePos="0" locked="0" layoutInCell="1" allowOverlap="1" relativeHeight="17">
            <wp:simplePos x="0" y="0"/>
            <wp:positionH relativeFrom="column">
              <wp:posOffset>5568950</wp:posOffset>
            </wp:positionH>
            <wp:positionV relativeFrom="paragraph">
              <wp:posOffset>143510</wp:posOffset>
            </wp:positionV>
            <wp:extent cx="1139190" cy="1228090"/>
            <wp:effectExtent l="0" t="0" r="0" b="0"/>
            <wp:wrapTight wrapText="bothSides">
              <wp:wrapPolygon edited="0">
                <wp:start x="-99" y="0"/>
                <wp:lineTo x="-99" y="20946"/>
                <wp:lineTo x="21299" y="20946"/>
                <wp:lineTo x="21299" y="0"/>
                <wp:lineTo x="-99" y="0"/>
              </wp:wrapPolygon>
            </wp:wrapTight>
            <wp:docPr id="12" name="Imag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20" descr=""/>
                    <pic:cNvPicPr>
                      <a:picLocks noChangeAspect="1" noChangeArrowheads="1"/>
                    </pic:cNvPicPr>
                  </pic:nvPicPr>
                  <pic:blipFill>
                    <a:blip r:embed="rId35"/>
                    <a:stretch>
                      <a:fillRect/>
                    </a:stretch>
                  </pic:blipFill>
                  <pic:spPr bwMode="auto">
                    <a:xfrm>
                      <a:off x="0" y="0"/>
                      <a:ext cx="1139190" cy="1228090"/>
                    </a:xfrm>
                    <a:prstGeom prst="rect">
                      <a:avLst/>
                    </a:prstGeom>
                  </pic:spPr>
                </pic:pic>
              </a:graphicData>
            </a:graphic>
          </wp:anchor>
        </w:drawing>
      </w:r>
      <w:r>
        <w:rPr>
          <w:b/>
          <w:bCs/>
        </w:rPr>
        <w:t>O</w:t>
      </w:r>
      <w:r>
        <w:rPr>
          <w:b/>
          <w:bCs/>
        </w:rPr>
        <w:t xml:space="preserve">bjectif : </w:t>
      </w:r>
    </w:p>
    <w:p>
      <w:pPr>
        <w:pStyle w:val="Normal"/>
        <w:numPr>
          <w:ilvl w:val="0"/>
          <w:numId w:val="4"/>
        </w:numPr>
        <w:suppressAutoHyphens w:val="true"/>
        <w:spacing w:lineRule="auto" w:line="276"/>
        <w:rPr>
          <w:b/>
          <w:b/>
          <w:bCs/>
        </w:rPr>
      </w:pPr>
      <w:r>
        <w:rPr>
          <w:b/>
          <w:bCs/>
        </w:rPr>
        <w:t>mettre en évidence l’influence de différents paramètres sur la période d’un oscillateur mécanique</w:t>
      </w:r>
    </w:p>
    <w:p>
      <w:pPr>
        <w:pStyle w:val="Normal"/>
        <w:numPr>
          <w:ilvl w:val="0"/>
          <w:numId w:val="4"/>
        </w:numPr>
        <w:suppressAutoHyphens w:val="true"/>
        <w:spacing w:lineRule="auto" w:line="276"/>
        <w:rPr>
          <w:b/>
          <w:b/>
          <w:bCs/>
        </w:rPr>
      </w:pPr>
      <w:r>
        <w:rPr>
          <w:b/>
          <w:bCs/>
        </w:rPr>
        <w:t>évolution énergétique du pendule simple idéal et réel</w:t>
      </w:r>
    </w:p>
    <w:p>
      <w:pPr>
        <w:pStyle w:val="Normal"/>
        <w:numPr>
          <w:ilvl w:val="0"/>
          <w:numId w:val="4"/>
        </w:numPr>
        <w:suppressAutoHyphens w:val="true"/>
        <w:spacing w:lineRule="auto" w:line="276"/>
        <w:rPr>
          <w:b/>
          <w:b/>
          <w:bCs/>
        </w:rPr>
      </w:pPr>
      <w:r>
        <w:rPr>
          <w:b/>
          <w:bCs/>
        </w:rPr>
        <w:t>faire usage d’un modèle animé</w:t>
      </w:r>
    </w:p>
    <w:p>
      <w:pPr>
        <w:pStyle w:val="Normal"/>
        <w:rPr>
          <w:b/>
          <w:b/>
          <w:bCs/>
        </w:rPr>
      </w:pPr>
      <w:r>
        <w:rPr>
          <w:b/>
          <w:bCs/>
        </w:rPr>
      </w:r>
    </w:p>
    <w:p>
      <w:pPr>
        <w:pStyle w:val="Normal"/>
        <w:rPr/>
      </w:pPr>
      <w:r>
        <w:rPr>
          <w:u w:val="single"/>
        </w:rPr>
        <w:t>DOC1 :</w:t>
      </w:r>
      <w:r>
        <w:rPr/>
        <w:t xml:space="preserve"> la mesure du temps </w:t>
      </w:r>
    </w:p>
    <w:p>
      <w:pPr>
        <w:pStyle w:val="Normal"/>
        <w:rPr/>
      </w:pPr>
      <w:r>
        <w:rPr/>
        <w:t>Galilée eut le premier l’idée d’exploiter les oscillations de faible amplitude du pendule simple comme étalon temporel, après avoir constaté l’isochronisme* du balancement du lustre de la cathédrale de Pise (ci-contre)</w:t>
      </w:r>
    </w:p>
    <w:p>
      <w:pPr>
        <w:pStyle w:val="Normal"/>
        <w:rPr/>
      </w:pPr>
      <w:r>
        <w:rPr/>
        <w:t>Tout au long de cette activité, nous noterons</w:t>
      </w:r>
      <w:r>
        <w:rPr>
          <w:b/>
          <w:bCs/>
        </w:rPr>
        <w:t xml:space="preserve"> la période temporelle T la durée d’un aller-retour du pendule</w:t>
      </w:r>
      <w:r>
        <w:rPr/>
        <w:t>.</w:t>
      </w:r>
    </w:p>
    <w:p>
      <w:pPr>
        <w:pStyle w:val="Normal"/>
        <w:rPr>
          <w:i/>
          <w:i/>
          <w:iCs/>
        </w:rPr>
      </w:pPr>
      <w:r>
        <w:rPr>
          <w:i/>
          <w:iCs/>
        </w:rPr>
        <w:t>Définition de l’isochronisme : qualité de ce qui est de durée égale</w:t>
      </w:r>
    </w:p>
    <w:p>
      <w:pPr>
        <w:pStyle w:val="Normal"/>
        <w:rPr>
          <w:i/>
          <w:i/>
          <w:iCs/>
        </w:rPr>
      </w:pPr>
      <w:r>
        <w:rPr>
          <w:i/>
          <w:iCs/>
        </w:rPr>
      </w:r>
    </w:p>
    <w:p>
      <w:pPr>
        <w:pStyle w:val="Normal"/>
        <w:rPr/>
      </w:pPr>
      <w:r>
        <w:rPr>
          <w:u w:val="single"/>
        </w:rPr>
        <w:t>DOC2 :</w:t>
      </w:r>
      <w:r>
        <w:rPr/>
        <w:t xml:space="preserve"> le pendule simple </w:t>
      </w:r>
    </w:p>
    <w:p>
      <w:pPr>
        <w:pStyle w:val="Normal"/>
        <w:rPr>
          <w:lang w:val="fr-FR"/>
        </w:rPr>
      </w:pPr>
      <w:r>
        <w:rPr>
          <w:lang w:val="fr-FR"/>
        </w:rPr>
        <mc:AlternateContent>
          <mc:Choice Requires="wps">
            <w:drawing>
              <wp:anchor behindDoc="0" distT="45720" distB="45720" distL="114300" distR="114300" simplePos="0" locked="0" layoutInCell="1" allowOverlap="1" relativeHeight="18" wp14:anchorId="517DF881">
                <wp:simplePos x="0" y="0"/>
                <wp:positionH relativeFrom="column">
                  <wp:posOffset>3289935</wp:posOffset>
                </wp:positionH>
                <wp:positionV relativeFrom="paragraph">
                  <wp:posOffset>146685</wp:posOffset>
                </wp:positionV>
                <wp:extent cx="3345180" cy="1824990"/>
                <wp:effectExtent l="13335" t="13335" r="13970" b="10160"/>
                <wp:wrapSquare wrapText="bothSides"/>
                <wp:docPr id="13" name="Zone de texte 19"/>
                <a:graphic xmlns:a="http://schemas.openxmlformats.org/drawingml/2006/main">
                  <a:graphicData uri="http://schemas.microsoft.com/office/word/2010/wordprocessingShape">
                    <wps:wsp>
                      <wps:cNvSpPr/>
                      <wps:spPr>
                        <a:xfrm>
                          <a:off x="0" y="0"/>
                          <a:ext cx="3344400" cy="1824480"/>
                        </a:xfrm>
                        <a:prstGeom prst="rect">
                          <a:avLst/>
                        </a:prstGeom>
                        <a:solidFill>
                          <a:srgbClr val="ffffff"/>
                        </a:solidFill>
                        <a:ln w="9360">
                          <a:solidFill>
                            <a:srgbClr val="000000"/>
                          </a:solidFill>
                          <a:miter/>
                        </a:ln>
                      </wps:spPr>
                      <wps:style>
                        <a:lnRef idx="0"/>
                        <a:fillRef idx="0"/>
                        <a:effectRef idx="0"/>
                        <a:fontRef idx="minor"/>
                      </wps:style>
                      <wps:txbx>
                        <w:txbxContent>
                          <w:p>
                            <w:pPr>
                              <w:pStyle w:val="Contenudecadre"/>
                              <w:jc w:val="both"/>
                              <w:rPr/>
                            </w:pPr>
                            <w:r>
                              <w:rPr>
                                <w:color w:val="000000"/>
                              </w:rPr>
                              <w:t xml:space="preserve">Un pendule réel assimilable à un </w:t>
                            </w:r>
                            <w:hyperlink r:id="rId36">
                              <w:r>
                                <w:rPr>
                                  <w:rStyle w:val="LienInternet"/>
                                  <w:color w:val="000000"/>
                                </w:rPr>
                                <w:t>pendule simple</w:t>
                              </w:r>
                            </w:hyperlink>
                            <w:r>
                              <w:rPr>
                                <w:color w:val="000000"/>
                              </w:rPr>
                              <w:t xml:space="preserve"> est constitué d'une masse m de faible </w:t>
                            </w:r>
                            <w:hyperlink r:id="rId37">
                              <w:r>
                                <w:rPr>
                                  <w:rStyle w:val="LienInternet"/>
                                  <w:color w:val="000000"/>
                                </w:rPr>
                                <w:t>dimension</w:t>
                              </w:r>
                            </w:hyperlink>
                            <w:r>
                              <w:rPr>
                                <w:color w:val="000000"/>
                              </w:rPr>
                              <w:t xml:space="preserve"> au bout d'un fil l.</w:t>
                            </w:r>
                          </w:p>
                          <w:p>
                            <w:pPr>
                              <w:pStyle w:val="Contenudecadre"/>
                              <w:jc w:val="both"/>
                              <w:rPr>
                                <w:color w:val="000000"/>
                                <w:sz w:val="20"/>
                                <w:szCs w:val="20"/>
                              </w:rPr>
                            </w:pPr>
                            <w:r>
                              <w:rPr>
                                <w:color w:val="000000"/>
                                <w:sz w:val="20"/>
                                <w:szCs w:val="20"/>
                              </w:rPr>
                              <w:t>Le rayon de la masse m doit être inférieur au dixième de la longueur l du pendule)</w:t>
                            </w:r>
                          </w:p>
                          <w:p>
                            <w:pPr>
                              <w:pStyle w:val="Contenudecadre"/>
                              <w:rPr>
                                <w:sz w:val="20"/>
                                <w:szCs w:val="20"/>
                              </w:rPr>
                            </w:pPr>
                            <w:r>
                              <w:rPr>
                                <w:sz w:val="20"/>
                                <w:szCs w:val="20"/>
                              </w:rPr>
                            </w:r>
                          </w:p>
                          <w:p>
                            <w:pPr>
                              <w:pStyle w:val="Contenudecadre"/>
                              <w:rPr>
                                <w:sz w:val="20"/>
                                <w:szCs w:val="20"/>
                              </w:rPr>
                            </w:pPr>
                            <w:r>
                              <w:rPr>
                                <w:sz w:val="20"/>
                                <w:szCs w:val="20"/>
                              </w:rPr>
                              <w:t xml:space="preserve">Source </w:t>
                            </w:r>
                          </w:p>
                          <w:p>
                            <w:pPr>
                              <w:pStyle w:val="Contenudecadre"/>
                              <w:rPr>
                                <w:sz w:val="20"/>
                                <w:szCs w:val="20"/>
                              </w:rPr>
                            </w:pPr>
                            <w:r>
                              <w:rPr>
                                <w:sz w:val="20"/>
                                <w:szCs w:val="20"/>
                              </w:rPr>
                              <w:t>https://www.techno-science.net/definition/1832.html</w:t>
                            </w:r>
                          </w:p>
                          <w:p>
                            <w:pPr>
                              <w:pStyle w:val="Contenudecadre"/>
                              <w:rPr>
                                <w:i/>
                                <w:i/>
                                <w:iCs/>
                                <w:sz w:val="20"/>
                                <w:szCs w:val="20"/>
                              </w:rPr>
                            </w:pPr>
                            <w:r>
                              <w:rPr>
                                <w:i/>
                                <w:iCs/>
                                <w:sz w:val="20"/>
                                <w:szCs w:val="20"/>
                              </w:rPr>
                            </w:r>
                          </w:p>
                          <w:p>
                            <w:pPr>
                              <w:pStyle w:val="Contenudecadre"/>
                              <w:rPr/>
                            </w:pPr>
                            <w:r>
                              <w:rPr/>
                            </w:r>
                          </w:p>
                        </w:txbxContent>
                      </wps:txbx>
                      <wps:bodyPr>
                        <a:noAutofit/>
                      </wps:bodyPr>
                    </wps:wsp>
                  </a:graphicData>
                </a:graphic>
              </wp:anchor>
            </w:drawing>
          </mc:Choice>
          <mc:Fallback>
            <w:pict>
              <v:rect id="shape_0" ID="Zone de texte 19" fillcolor="white" stroked="t" style="position:absolute;margin-left:259.05pt;margin-top:11.55pt;width:263.3pt;height:143.6pt" wp14:anchorId="517DF881">
                <w10:wrap type="square"/>
                <v:fill o:detectmouseclick="t" type="solid" color2="black"/>
                <v:stroke color="black" weight="9360" joinstyle="miter" endcap="flat"/>
                <v:textbox>
                  <w:txbxContent>
                    <w:p>
                      <w:pPr>
                        <w:pStyle w:val="Contenudecadre"/>
                        <w:jc w:val="both"/>
                        <w:rPr/>
                      </w:pPr>
                      <w:r>
                        <w:rPr>
                          <w:color w:val="000000"/>
                        </w:rPr>
                        <w:t xml:space="preserve">Un pendule réel assimilable à un </w:t>
                      </w:r>
                      <w:hyperlink r:id="rId38">
                        <w:r>
                          <w:rPr>
                            <w:rStyle w:val="LienInternet"/>
                            <w:color w:val="000000"/>
                          </w:rPr>
                          <w:t>pendule simple</w:t>
                        </w:r>
                      </w:hyperlink>
                      <w:r>
                        <w:rPr>
                          <w:color w:val="000000"/>
                        </w:rPr>
                        <w:t xml:space="preserve"> est constitué d'une masse m de faible </w:t>
                      </w:r>
                      <w:hyperlink r:id="rId39">
                        <w:r>
                          <w:rPr>
                            <w:rStyle w:val="LienInternet"/>
                            <w:color w:val="000000"/>
                          </w:rPr>
                          <w:t>dimension</w:t>
                        </w:r>
                      </w:hyperlink>
                      <w:r>
                        <w:rPr>
                          <w:color w:val="000000"/>
                        </w:rPr>
                        <w:t xml:space="preserve"> au bout d'un fil l.</w:t>
                      </w:r>
                    </w:p>
                    <w:p>
                      <w:pPr>
                        <w:pStyle w:val="Contenudecadre"/>
                        <w:jc w:val="both"/>
                        <w:rPr>
                          <w:color w:val="000000"/>
                          <w:sz w:val="20"/>
                          <w:szCs w:val="20"/>
                        </w:rPr>
                      </w:pPr>
                      <w:r>
                        <w:rPr>
                          <w:color w:val="000000"/>
                          <w:sz w:val="20"/>
                          <w:szCs w:val="20"/>
                        </w:rPr>
                        <w:t>Le rayon de la masse m doit être inférieur au dixième de la longueur l du pendule)</w:t>
                      </w:r>
                    </w:p>
                    <w:p>
                      <w:pPr>
                        <w:pStyle w:val="Contenudecadre"/>
                        <w:rPr>
                          <w:sz w:val="20"/>
                          <w:szCs w:val="20"/>
                        </w:rPr>
                      </w:pPr>
                      <w:r>
                        <w:rPr>
                          <w:sz w:val="20"/>
                          <w:szCs w:val="20"/>
                        </w:rPr>
                      </w:r>
                    </w:p>
                    <w:p>
                      <w:pPr>
                        <w:pStyle w:val="Contenudecadre"/>
                        <w:rPr>
                          <w:sz w:val="20"/>
                          <w:szCs w:val="20"/>
                        </w:rPr>
                      </w:pPr>
                      <w:r>
                        <w:rPr>
                          <w:sz w:val="20"/>
                          <w:szCs w:val="20"/>
                        </w:rPr>
                        <w:t xml:space="preserve">Source </w:t>
                      </w:r>
                    </w:p>
                    <w:p>
                      <w:pPr>
                        <w:pStyle w:val="Contenudecadre"/>
                        <w:rPr>
                          <w:sz w:val="20"/>
                          <w:szCs w:val="20"/>
                        </w:rPr>
                      </w:pPr>
                      <w:r>
                        <w:rPr>
                          <w:sz w:val="20"/>
                          <w:szCs w:val="20"/>
                        </w:rPr>
                        <w:t>https://www.techno-science.net/definition/1832.html</w:t>
                      </w:r>
                    </w:p>
                    <w:p>
                      <w:pPr>
                        <w:pStyle w:val="Contenudecadre"/>
                        <w:rPr>
                          <w:i/>
                          <w:i/>
                          <w:iCs/>
                          <w:sz w:val="20"/>
                          <w:szCs w:val="20"/>
                        </w:rPr>
                      </w:pPr>
                      <w:r>
                        <w:rPr>
                          <w:i/>
                          <w:iCs/>
                          <w:sz w:val="20"/>
                          <w:szCs w:val="20"/>
                        </w:rPr>
                      </w:r>
                    </w:p>
                    <w:p>
                      <w:pPr>
                        <w:pStyle w:val="Contenudecadre"/>
                        <w:rPr/>
                      </w:pPr>
                      <w:r>
                        <w:rPr/>
                      </w:r>
                    </w:p>
                  </w:txbxContent>
                </v:textbox>
              </v:rect>
            </w:pict>
          </mc:Fallback>
        </mc:AlternateContent>
        <w:drawing>
          <wp:anchor behindDoc="0" distT="19050" distB="10795" distL="133985" distR="142875" simplePos="0" locked="0" layoutInCell="1" allowOverlap="1" relativeHeight="9">
            <wp:simplePos x="0" y="0"/>
            <wp:positionH relativeFrom="column">
              <wp:posOffset>459740</wp:posOffset>
            </wp:positionH>
            <wp:positionV relativeFrom="paragraph">
              <wp:posOffset>76835</wp:posOffset>
            </wp:positionV>
            <wp:extent cx="2391410" cy="1894205"/>
            <wp:effectExtent l="0" t="0" r="0" b="0"/>
            <wp:wrapSquare wrapText="bothSides"/>
            <wp:docPr id="15" name="Imag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8" descr=""/>
                    <pic:cNvPicPr>
                      <a:picLocks noChangeAspect="1" noChangeArrowheads="1"/>
                    </pic:cNvPicPr>
                  </pic:nvPicPr>
                  <pic:blipFill>
                    <a:blip r:embed="rId40"/>
                    <a:srcRect l="0" t="45257" r="0" b="0"/>
                    <a:stretch>
                      <a:fillRect/>
                    </a:stretch>
                  </pic:blipFill>
                  <pic:spPr bwMode="auto">
                    <a:xfrm>
                      <a:off x="0" y="0"/>
                      <a:ext cx="2391410" cy="1894205"/>
                    </a:xfrm>
                    <a:prstGeom prst="rect">
                      <a:avLst/>
                    </a:prstGeom>
                    <a:ln w="6350">
                      <a:solidFill>
                        <a:srgbClr val="000000"/>
                      </a:solidFill>
                    </a:ln>
                  </pic:spPr>
                </pic:pic>
              </a:graphicData>
            </a:graphic>
          </wp:anchor>
        </w:drawing>
      </w:r>
    </w:p>
    <w:p>
      <w:pPr>
        <w:pStyle w:val="Normal"/>
        <w:rPr/>
      </w:pPr>
      <w:r>
        <w:rPr/>
      </w:r>
    </w:p>
    <w:p>
      <w:pPr>
        <w:pStyle w:val="Normal"/>
        <w:rPr/>
      </w:pPr>
      <w:r>
        <w:rPr/>
      </w:r>
    </w:p>
    <w:p>
      <w:pPr>
        <w:pStyle w:val="Normal"/>
        <w:rPr>
          <w:u w:val="single"/>
          <w:lang w:val="fr-FR"/>
        </w:rPr>
      </w:pPr>
      <w:r>
        <w:rPr>
          <w:u w:val="single"/>
          <w:lang w:val="fr-FR"/>
        </w:rPr>
      </w:r>
    </w:p>
    <w:p>
      <w:pPr>
        <w:pStyle w:val="Normal"/>
        <w:rPr>
          <w:u w:val="single"/>
          <w:lang w:val="fr-FR"/>
        </w:rPr>
      </w:pPr>
      <w:r>
        <w:rPr>
          <w:u w:val="single"/>
          <w:lang w:val="fr-FR"/>
        </w:rPr>
      </w:r>
    </w:p>
    <w:p>
      <w:pPr>
        <w:pStyle w:val="Normal"/>
        <w:rPr>
          <w:u w:val="single"/>
          <w:lang w:val="fr-FR"/>
        </w:rPr>
      </w:pPr>
      <w:r>
        <w:rPr>
          <w:u w:val="single"/>
          <w:lang w:val="fr-FR"/>
        </w:rPr>
      </w:r>
    </w:p>
    <w:p>
      <w:pPr>
        <w:pStyle w:val="Normal"/>
        <w:rPr>
          <w:u w:val="single"/>
          <w:lang w:val="fr-FR"/>
        </w:rPr>
      </w:pPr>
      <w:r>
        <w:rPr>
          <w:u w:val="single"/>
          <w:lang w:val="fr-FR"/>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t>Expérience première à la maison (si possible)</w:t>
      </w:r>
    </w:p>
    <w:p>
      <w:pPr>
        <w:pStyle w:val="Normal"/>
        <w:rPr>
          <w:bCs/>
        </w:rPr>
      </w:pPr>
      <w:r>
        <w:rPr>
          <w:bCs/>
        </w:rPr>
        <w:t>Matériels : ficelle de 10 cm à 1 m, des objets (masses) à attacher, un crochet éventuellement entre la masse et la ficelle, chronomètre de smartphone, balance de cuisine, mètre déroulant, rapporteur, sèche-cheveux</w:t>
      </w:r>
    </w:p>
    <w:p>
      <w:pPr>
        <w:pStyle w:val="Normal"/>
        <w:numPr>
          <w:ilvl w:val="0"/>
          <w:numId w:val="3"/>
        </w:numPr>
        <w:suppressAutoHyphens w:val="true"/>
        <w:spacing w:lineRule="auto" w:line="276"/>
        <w:rPr>
          <w:bCs/>
        </w:rPr>
      </w:pPr>
      <w:r>
        <w:rPr>
          <w:bCs/>
        </w:rPr>
        <w:t>construire votre pendule simple</w:t>
      </w:r>
    </w:p>
    <w:p>
      <w:pPr>
        <w:pStyle w:val="Normal"/>
        <w:numPr>
          <w:ilvl w:val="0"/>
          <w:numId w:val="3"/>
        </w:numPr>
        <w:suppressAutoHyphens w:val="true"/>
        <w:spacing w:lineRule="auto" w:line="276"/>
        <w:rPr>
          <w:bCs/>
        </w:rPr>
      </w:pPr>
      <w:r>
        <w:rPr>
          <w:bCs/>
        </w:rPr>
        <w:t>le suspendre, le fixer en hauteur (poignée de porte, support quelconque)</w:t>
      </w:r>
    </w:p>
    <w:p>
      <w:pPr>
        <w:pStyle w:val="Normal"/>
        <w:numPr>
          <w:ilvl w:val="0"/>
          <w:numId w:val="3"/>
        </w:numPr>
        <w:suppressAutoHyphens w:val="true"/>
        <w:spacing w:lineRule="auto" w:line="276"/>
        <w:rPr>
          <w:bCs/>
        </w:rPr>
      </w:pPr>
      <w:r>
        <w:rPr>
          <w:bCs/>
        </w:rPr>
        <w:t>le lâcher simplement pour osciller (sans lancé)</w:t>
      </w:r>
    </w:p>
    <w:p>
      <w:pPr>
        <w:pStyle w:val="Normal"/>
        <w:rPr>
          <w:b/>
          <w:b/>
        </w:rPr>
      </w:pPr>
      <w:r>
        <w:rPr>
          <w:b/>
        </w:rPr>
      </w:r>
    </w:p>
    <w:p>
      <w:pPr>
        <w:pStyle w:val="Normal"/>
        <w:rPr>
          <w:bCs/>
          <w:u w:val="single"/>
        </w:rPr>
      </w:pPr>
      <w:r>
        <w:rPr>
          <w:b/>
          <w:u w:val="single"/>
        </w:rPr>
        <w:t>1- Influence de paramètres</w:t>
      </w:r>
    </w:p>
    <w:p>
      <w:pPr>
        <w:pStyle w:val="Normal"/>
        <w:rPr>
          <w:b/>
          <w:b/>
        </w:rPr>
      </w:pPr>
      <w:r>
        <w:rPr>
          <w:b/>
        </w:rPr>
        <w:t>1.1 Phase d’hypothèses : écrire votre avis sur la variation possible de la période du pendule simple</w:t>
      </w:r>
    </w:p>
    <w:tbl>
      <w:tblPr>
        <w:tblW w:w="1051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11"/>
        <w:gridCol w:w="7906"/>
      </w:tblGrid>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 xml:space="preserve">Paramètres d’influence </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Votre hypothèse sur l’évolution de la durée de la période T</w:t>
            </w:r>
          </w:p>
        </w:tc>
      </w:tr>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Angle d’inclinaison</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Longueur du fil</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 xml:space="preserve">Masse </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Gravité</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Amortissement par frottement (air, fixation)</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Autre :</w:t>
            </w:r>
          </w:p>
        </w:tc>
        <w:tc>
          <w:tcPr>
            <w:tcW w:w="79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bl>
    <w:p>
      <w:pPr>
        <w:pStyle w:val="Normal"/>
        <w:rPr>
          <w:b/>
          <w:b/>
        </w:rPr>
      </w:pPr>
      <w:r>
        <w:rPr>
          <w:b/>
        </w:rPr>
      </w:r>
    </w:p>
    <w:p>
      <w:pPr>
        <w:pStyle w:val="Normal"/>
        <w:jc w:val="center"/>
        <w:rPr>
          <w:b/>
          <w:b/>
          <w:i/>
          <w:i/>
          <w:iCs/>
        </w:rPr>
      </w:pPr>
      <w:r>
        <w:rPr>
          <w:b/>
          <w:i/>
          <w:iCs/>
        </w:rPr>
        <w:t>Si impossibilité de manipuler, passez à la partie 2 par simulation uniquement</w:t>
      </w:r>
    </w:p>
    <w:p>
      <w:pPr>
        <w:pStyle w:val="Normal"/>
        <w:rPr>
          <w:b/>
          <w:b/>
        </w:rPr>
      </w:pPr>
      <w:r>
        <w:rPr>
          <w:b/>
        </w:rPr>
      </w:r>
    </w:p>
    <w:p>
      <w:pPr>
        <w:pStyle w:val="Normal"/>
        <w:rPr>
          <w:b/>
          <w:b/>
        </w:rPr>
      </w:pPr>
      <w:r>
        <w:rPr>
          <w:b/>
        </w:rPr>
      </w:r>
      <w:r>
        <w:br w:type="page"/>
      </w:r>
    </w:p>
    <w:p>
      <w:pPr>
        <w:pStyle w:val="Normal"/>
        <w:rPr>
          <w:b/>
          <w:b/>
        </w:rPr>
      </w:pPr>
      <w:r>
        <w:rPr>
          <w:b/>
        </w:rPr>
      </w:r>
    </w:p>
    <w:p>
      <w:pPr>
        <w:pStyle w:val="Normal"/>
        <w:rPr>
          <w:b/>
          <w:b/>
        </w:rPr>
      </w:pPr>
      <w:r>
        <w:rPr>
          <w:b/>
        </w:rPr>
        <w:t>1.2 Mettre en œuvre les manipulations et mesures nécessaires pour répondre à vos hypothèses</w:t>
      </w:r>
    </w:p>
    <w:p>
      <w:pPr>
        <w:pStyle w:val="Normal"/>
        <w:rPr>
          <w:bCs/>
        </w:rPr>
      </w:pPr>
      <w:r>
        <w:rPr>
          <w:bCs/>
        </w:rPr>
        <w:t>Exemple : pour l’influence de la masse</w:t>
      </w:r>
    </w:p>
    <w:tbl>
      <w:tblPr>
        <w:tblW w:w="10519"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781"/>
        <w:gridCol w:w="1749"/>
        <w:gridCol w:w="1747"/>
        <w:gridCol w:w="1747"/>
        <w:gridCol w:w="1747"/>
        <w:gridCol w:w="1747"/>
      </w:tblGrid>
      <w:tr>
        <w:trPr/>
        <w:tc>
          <w:tcPr>
            <w:tcW w:w="17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t>Masse (g)</w:t>
            </w:r>
          </w:p>
        </w:tc>
        <w:tc>
          <w:tcPr>
            <w:tcW w:w="17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r>
      <w:tr>
        <w:trPr/>
        <w:tc>
          <w:tcPr>
            <w:tcW w:w="17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t>Période T(s)</w:t>
            </w:r>
          </w:p>
        </w:tc>
        <w:tc>
          <w:tcPr>
            <w:tcW w:w="17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c>
          <w:tcPr>
            <w:tcW w:w="1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
                <w:b/>
              </w:rPr>
            </w:pPr>
            <w:r>
              <w:rPr>
                <w:b/>
              </w:rPr>
            </w:r>
          </w:p>
        </w:tc>
      </w:tr>
    </w:tbl>
    <w:p>
      <w:pPr>
        <w:pStyle w:val="Normal"/>
        <w:rPr>
          <w:b/>
          <w:b/>
        </w:rPr>
      </w:pPr>
      <w:r>
        <w:rPr>
          <w:b/>
        </w:rPr>
      </w:r>
    </w:p>
    <w:p>
      <w:pPr>
        <w:pStyle w:val="Normal"/>
        <w:rPr>
          <w:b/>
          <w:b/>
        </w:rPr>
      </w:pPr>
      <w:r>
        <w:rPr>
          <w:b/>
        </w:rPr>
        <w:t>1.3 Exploitation</w:t>
      </w:r>
    </w:p>
    <w:tbl>
      <w:tblPr>
        <w:tblW w:w="1051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746"/>
        <w:gridCol w:w="7771"/>
      </w:tblGrid>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 xml:space="preserve">Paramètres d’influence </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Vos conclusions</w:t>
            </w:r>
          </w:p>
        </w:tc>
      </w:tr>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Angle d’inclinaison</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Longueur du fil</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 xml:space="preserve">Masse </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Gravité</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Amortissement par frottement (air, fixation)</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r>
        <w:trPr/>
        <w:tc>
          <w:tcPr>
            <w:tcW w:w="27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t xml:space="preserve">Autre : </w:t>
            </w:r>
          </w:p>
        </w:tc>
        <w:tc>
          <w:tcPr>
            <w:tcW w:w="77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bCs/>
              </w:rPr>
            </w:pPr>
            <w:r>
              <w:rPr>
                <w:bCs/>
              </w:rPr>
            </w:r>
          </w:p>
        </w:tc>
      </w:tr>
    </w:tbl>
    <w:p>
      <w:pPr>
        <w:pStyle w:val="Normal"/>
        <w:rPr>
          <w:b/>
          <w:b/>
        </w:rPr>
      </w:pPr>
      <w:r>
        <w:rPr>
          <w:b/>
        </w:rPr>
      </w:r>
    </w:p>
    <w:p>
      <w:pPr>
        <w:pStyle w:val="Normal"/>
        <w:rPr>
          <w:b/>
          <w:b/>
          <w:u w:val="single"/>
        </w:rPr>
      </w:pPr>
      <w:r>
        <w:rPr>
          <w:b/>
          <w:u w:val="single"/>
        </w:rPr>
        <w:t>2- Validation par un modèle animé</w:t>
      </w:r>
    </w:p>
    <w:p>
      <w:pPr>
        <w:pStyle w:val="Normal"/>
        <w:rPr>
          <w:b/>
          <w:b/>
        </w:rPr>
      </w:pPr>
      <w:r>
        <w:rPr>
          <w:b/>
        </w:rPr>
      </w:r>
    </w:p>
    <w:p>
      <w:pPr>
        <w:pStyle w:val="Normal"/>
        <w:rPr>
          <w:bCs/>
        </w:rPr>
      </w:pPr>
      <w:r>
        <w:rPr>
          <w:bCs/>
        </w:rPr>
        <w:t>Le mouvement d’un pendule a été modélisé depuis plus de 3 siècles. Par une simulation, il est possible de rendre compte de son évolution temporelle.</w:t>
      </w:r>
    </w:p>
    <w:p>
      <w:pPr>
        <w:pStyle w:val="Normal"/>
        <w:rPr>
          <w:b/>
          <w:b/>
        </w:rPr>
      </w:pPr>
      <w:r>
        <w:rPr>
          <w:b/>
        </w:rPr>
        <w:t xml:space="preserve">A l’aide de l’une des deux simulations suivantes </w:t>
      </w:r>
    </w:p>
    <w:p>
      <w:pPr>
        <w:pStyle w:val="Normal"/>
        <w:numPr>
          <w:ilvl w:val="0"/>
          <w:numId w:val="5"/>
        </w:numPr>
        <w:suppressAutoHyphens w:val="true"/>
        <w:spacing w:lineRule="auto" w:line="276"/>
        <w:rPr/>
      </w:pPr>
      <w:r>
        <w:rPr>
          <w:bCs/>
        </w:rPr>
        <w:t xml:space="preserve">Site de M. Labatut : </w:t>
      </w:r>
      <w:hyperlink r:id="rId41">
        <w:r>
          <w:rPr>
            <w:rStyle w:val="LienInternet"/>
            <w:bCs/>
          </w:rPr>
          <w:t>http://scphysiques.free.fr/animations/animations.htm</w:t>
        </w:r>
      </w:hyperlink>
    </w:p>
    <w:p>
      <w:pPr>
        <w:pStyle w:val="Normal"/>
        <w:ind w:left="720" w:hanging="0"/>
        <w:rPr>
          <w:bCs/>
        </w:rPr>
      </w:pPr>
      <w:r>
        <w:rPr>
          <w:bCs/>
        </w:rPr>
        <w:t>Sélectionner dans la page : Mécanique/Oscillateurs/pendule simple avec ou sans frottements</w:t>
      </w:r>
    </w:p>
    <w:p>
      <w:pPr>
        <w:pStyle w:val="Normal"/>
        <w:numPr>
          <w:ilvl w:val="0"/>
          <w:numId w:val="5"/>
        </w:numPr>
        <w:suppressAutoHyphens w:val="true"/>
        <w:spacing w:lineRule="auto" w:line="276"/>
        <w:rPr/>
      </w:pPr>
      <w:r>
        <w:rPr>
          <w:bCs/>
        </w:rPr>
        <w:t xml:space="preserve">Site de pH Et : </w:t>
      </w:r>
      <w:hyperlink r:id="rId42">
        <w:r>
          <w:rPr>
            <w:rStyle w:val="LienInternet"/>
            <w:bCs/>
          </w:rPr>
          <w:t>https://phet.colorado.edu/sims/html/pendulum-lab/latest/pendulum-lab_fr.html</w:t>
        </w:r>
      </w:hyperlink>
    </w:p>
    <w:p>
      <w:pPr>
        <w:pStyle w:val="Normal"/>
        <w:rPr>
          <w:bCs/>
        </w:rPr>
      </w:pPr>
      <w:r>
        <w:rPr>
          <w:bCs/>
        </w:rPr>
      </w:r>
    </w:p>
    <w:p>
      <w:pPr>
        <w:pStyle w:val="Normal"/>
        <w:rPr>
          <w:bCs/>
        </w:rPr>
      </w:pPr>
      <w:r>
        <w:rPr>
          <w:bCs/>
        </w:rPr>
        <w:t>Poursuivre votre démarche d’expérimentation et de vérification de vos conclusions du tableau ci-dessus.</w:t>
      </w:r>
    </w:p>
    <w:p>
      <w:pPr>
        <w:pStyle w:val="Normal"/>
        <w:rPr>
          <w:b/>
          <w:b/>
        </w:rPr>
      </w:pPr>
      <w:r>
        <w:rPr>
          <w:b/>
        </w:rPr>
      </w:r>
    </w:p>
    <w:p>
      <w:pPr>
        <w:pStyle w:val="Normal"/>
        <w:rPr>
          <w:b/>
          <w:b/>
        </w:rPr>
      </w:pPr>
      <w:r>
        <w:rPr>
          <w:b/>
        </w:rPr>
        <w:t>Bilan final : de quoi dépend la période T d’un pendule simple ?</w:t>
      </w:r>
    </w:p>
    <w:p>
      <w:pPr>
        <w:pStyle w:val="Normal"/>
        <w:rPr>
          <w:b/>
          <w:b/>
          <w:u w:val="single"/>
        </w:rPr>
      </w:pPr>
      <w:r>
        <w:rPr>
          <w:b/>
          <w:u w:val="single"/>
        </w:rPr>
      </w:r>
    </w:p>
    <w:p>
      <w:pPr>
        <w:pStyle w:val="Normal"/>
        <w:rPr>
          <w:b/>
          <w:b/>
          <w:u w:val="single"/>
        </w:rPr>
      </w:pPr>
      <w:r>
        <w:rPr>
          <w:b/>
          <w:u w:val="single"/>
        </w:rPr>
        <w:t xml:space="preserve">4- Recherche d’un modèle mathématique de la période </w:t>
      </w:r>
    </w:p>
    <w:p>
      <w:pPr>
        <w:pStyle w:val="Normal"/>
        <w:ind w:firstLine="708"/>
        <w:jc w:val="both"/>
        <w:rPr/>
      </w:pPr>
      <w:r>
        <w:rPr/>
        <w:t>En vous appuyant sur vos conclusions expérimentales et animées, ainsi que par une analyse dimensionnelle, valider et/ou invalider chaque modèle proposé ci-dessous et choisir les expressions possibles pour la période propre T</w:t>
      </w:r>
      <w:r>
        <w:rPr>
          <w:vertAlign w:val="subscript"/>
        </w:rPr>
        <w:t>0</w:t>
      </w:r>
      <w:r>
        <w:rPr/>
        <w:t xml:space="preserve"> d’un pendule simple parmi celles proposées ci-dessous :</w:t>
      </w:r>
    </w:p>
    <w:p>
      <w:pPr>
        <w:pStyle w:val="Normal"/>
        <w:jc w:val="both"/>
        <w:rPr/>
      </w:pPr>
      <w:r>
        <w:rPr/>
        <w:t xml:space="preserve">L’angle est en radian, il n’a pas d’unité physique. </w:t>
      </w:r>
    </w:p>
    <w:p>
      <w:pPr>
        <w:pStyle w:val="Normal"/>
        <w:rPr>
          <w:lang w:val="fr-FR"/>
        </w:rPr>
      </w:pPr>
      <w:r>
        <w:rPr>
          <w:lang w:val="fr-FR"/>
        </w:rPr>
        <mc:AlternateContent>
          <mc:Choice Requires="wps">
            <w:drawing>
              <wp:anchor behindDoc="0" distT="0" distB="0" distL="114935" distR="114935" simplePos="0" locked="0" layoutInCell="1" allowOverlap="1" relativeHeight="11" wp14:anchorId="3F98457A">
                <wp:simplePos x="0" y="0"/>
                <wp:positionH relativeFrom="column">
                  <wp:posOffset>-196215</wp:posOffset>
                </wp:positionH>
                <wp:positionV relativeFrom="paragraph">
                  <wp:posOffset>296545</wp:posOffset>
                </wp:positionV>
                <wp:extent cx="986790" cy="377190"/>
                <wp:effectExtent l="3810" t="6350" r="635" b="7620"/>
                <wp:wrapNone/>
                <wp:docPr id="16" name="Zone de texte 17"/>
                <a:graphic xmlns:a="http://schemas.openxmlformats.org/drawingml/2006/main">
                  <a:graphicData uri="http://schemas.microsoft.com/office/word/2010/wordprocessingShape">
                    <wps:wsp>
                      <wps:cNvSpPr/>
                      <wps:spPr>
                        <a:xfrm>
                          <a:off x="0" y="0"/>
                          <a:ext cx="986040" cy="376560"/>
                        </a:xfrm>
                        <a:prstGeom prst="rect">
                          <a:avLst/>
                        </a:prstGeom>
                        <a:noFill/>
                        <a:ln>
                          <a:noFill/>
                        </a:ln>
                      </wps:spPr>
                      <wps:style>
                        <a:lnRef idx="0"/>
                        <a:fillRef idx="0"/>
                        <a:effectRef idx="0"/>
                        <a:fontRef idx="minor"/>
                      </wps:style>
                      <wps:txbx>
                        <w:txbxContent>
                          <w:p>
                            <w:pPr>
                              <w:pStyle w:val="Contenudecadre"/>
                              <w:rPr/>
                            </w:pPr>
                            <w:r>
                              <w:rPr/>
                              <w:object>
                                <v:shape id="ole_rId43" style="width:62.45pt;height:21.75pt" o:ole="">
                                  <v:imagedata r:id="rId44" o:title=""/>
                                </v:shape>
                                <o:OLEObject Type="Embed" ProgID="" ShapeID="ole_rId43" DrawAspect="Content" ObjectID="_1669241466" r:id="rId43"/>
                              </w:object>
                            </w:r>
                          </w:p>
                        </w:txbxContent>
                      </wps:txbx>
                      <wps:bodyPr lIns="90000" rIns="90000" tIns="45000" bIns="45000">
                        <a:noAutofit/>
                      </wps:bodyPr>
                    </wps:wsp>
                  </a:graphicData>
                </a:graphic>
              </wp:anchor>
            </w:drawing>
          </mc:Choice>
          <mc:Fallback>
            <w:pict>
              <v:rect id="shape_0" ID="Zone de texte 17" fillcolor="white" stroked="f" style="position:absolute;margin-left:-15.45pt;margin-top:23.35pt;width:77.6pt;height:29.6pt" wp14:anchorId="3F98457A">
                <w10:wrap type="none"/>
                <v:fill o:detectmouseclick="t" type="solid" color2="black" opacity="0"/>
                <v:stroke color="#3465a4" joinstyle="round" endcap="flat"/>
                <v:textbox>
                  <w:txbxContent>
                    <w:p>
                      <w:pPr>
                        <w:pStyle w:val="Contenudecadre"/>
                        <w:rPr/>
                      </w:pPr>
                      <w:r>
                        <w:rPr/>
                        <w:object>
                          <v:shape id="ole_rId45" style="width:62.45pt;height:21.75pt" o:ole="">
                            <v:imagedata r:id="rId46" o:title=""/>
                          </v:shape>
                          <o:OLEObject Type="Embed" ProgID="" ShapeID="ole_rId45" DrawAspect="Content" ObjectID="_621228782" r:id="rId45"/>
                        </w:object>
                      </w:r>
                    </w:p>
                  </w:txbxContent>
                </v:textbox>
              </v:rect>
            </w:pict>
          </mc:Fallback>
        </mc:AlternateContent>
        <mc:AlternateContent>
          <mc:Choice Requires="wps">
            <w:drawing>
              <wp:anchor behindDoc="0" distT="0" distB="0" distL="114935" distR="114935" simplePos="0" locked="0" layoutInCell="1" allowOverlap="1" relativeHeight="12" wp14:anchorId="4FAE3EB3">
                <wp:simplePos x="0" y="0"/>
                <wp:positionH relativeFrom="column">
                  <wp:posOffset>3582035</wp:posOffset>
                </wp:positionH>
                <wp:positionV relativeFrom="paragraph">
                  <wp:posOffset>296545</wp:posOffset>
                </wp:positionV>
                <wp:extent cx="1081405" cy="367665"/>
                <wp:effectExtent l="635" t="6350" r="4445" b="7620"/>
                <wp:wrapNone/>
                <wp:docPr id="18" name="Zone de texte 16"/>
                <a:graphic xmlns:a="http://schemas.openxmlformats.org/drawingml/2006/main">
                  <a:graphicData uri="http://schemas.microsoft.com/office/word/2010/wordprocessingShape">
                    <wps:wsp>
                      <wps:cNvSpPr/>
                      <wps:spPr>
                        <a:xfrm>
                          <a:off x="0" y="0"/>
                          <a:ext cx="1080720" cy="367200"/>
                        </a:xfrm>
                        <a:prstGeom prst="rect">
                          <a:avLst/>
                        </a:prstGeom>
                        <a:noFill/>
                        <a:ln>
                          <a:noFill/>
                        </a:ln>
                      </wps:spPr>
                      <wps:style>
                        <a:lnRef idx="0"/>
                        <a:fillRef idx="0"/>
                        <a:effectRef idx="0"/>
                        <a:fontRef idx="minor"/>
                      </wps:style>
                      <wps:txbx>
                        <w:txbxContent>
                          <w:p>
                            <w:pPr>
                              <w:pStyle w:val="Contenudecadre"/>
                              <w:rPr/>
                            </w:pPr>
                            <w:r>
                              <w:rPr/>
                              <w:object>
                                <v:shape id="ole_rId47" style="width:70pt;height:21pt" o:ole="">
                                  <v:imagedata r:id="rId48" o:title=""/>
                                </v:shape>
                                <o:OLEObject Type="Embed" ProgID="" ShapeID="ole_rId47" DrawAspect="Content" ObjectID="_2110287204" r:id="rId47"/>
                              </w:object>
                            </w:r>
                          </w:p>
                        </w:txbxContent>
                      </wps:txbx>
                      <wps:bodyPr lIns="90000" rIns="90000" tIns="45000" bIns="45000">
                        <a:noAutofit/>
                      </wps:bodyPr>
                    </wps:wsp>
                  </a:graphicData>
                </a:graphic>
              </wp:anchor>
            </w:drawing>
          </mc:Choice>
          <mc:Fallback>
            <w:pict>
              <v:rect id="shape_0" ID="Zone de texte 16" fillcolor="white" stroked="f" style="position:absolute;margin-left:282.05pt;margin-top:23.35pt;width:85.05pt;height:28.85pt" wp14:anchorId="4FAE3EB3">
                <w10:wrap type="none"/>
                <v:fill o:detectmouseclick="t" type="solid" color2="black" opacity="0"/>
                <v:stroke color="#3465a4" joinstyle="round" endcap="flat"/>
                <v:textbox>
                  <w:txbxContent>
                    <w:p>
                      <w:pPr>
                        <w:pStyle w:val="Contenudecadre"/>
                        <w:rPr/>
                      </w:pPr>
                      <w:r>
                        <w:rPr/>
                        <w:object>
                          <v:shape id="ole_rId49" style="width:70pt;height:21pt" o:ole="">
                            <v:imagedata r:id="rId50" o:title=""/>
                          </v:shape>
                          <o:OLEObject Type="Embed" ProgID="" ShapeID="ole_rId49" DrawAspect="Content" ObjectID="_2066739604" r:id="rId49"/>
                        </w:object>
                      </w:r>
                    </w:p>
                  </w:txbxContent>
                </v:textbox>
              </v:rect>
            </w:pict>
          </mc:Fallback>
        </mc:AlternateContent>
        <mc:AlternateContent>
          <mc:Choice Requires="wps">
            <w:drawing>
              <wp:anchor behindDoc="0" distT="0" distB="0" distL="114935" distR="114935" simplePos="0" locked="0" layoutInCell="1" allowOverlap="1" relativeHeight="13" wp14:anchorId="6AA829A6">
                <wp:simplePos x="0" y="0"/>
                <wp:positionH relativeFrom="column">
                  <wp:posOffset>2581275</wp:posOffset>
                </wp:positionH>
                <wp:positionV relativeFrom="paragraph">
                  <wp:posOffset>234315</wp:posOffset>
                </wp:positionV>
                <wp:extent cx="1000760" cy="596265"/>
                <wp:effectExtent l="0" t="1270" r="0" b="3175"/>
                <wp:wrapNone/>
                <wp:docPr id="20" name="Zone de texte 15"/>
                <a:graphic xmlns:a="http://schemas.openxmlformats.org/drawingml/2006/main">
                  <a:graphicData uri="http://schemas.microsoft.com/office/word/2010/wordprocessingShape">
                    <wps:wsp>
                      <wps:cNvSpPr/>
                      <wps:spPr>
                        <a:xfrm>
                          <a:off x="0" y="0"/>
                          <a:ext cx="1000080" cy="595800"/>
                        </a:xfrm>
                        <a:prstGeom prst="rect">
                          <a:avLst/>
                        </a:prstGeom>
                        <a:noFill/>
                        <a:ln>
                          <a:noFill/>
                        </a:ln>
                      </wps:spPr>
                      <wps:style>
                        <a:lnRef idx="0"/>
                        <a:fillRef idx="0"/>
                        <a:effectRef idx="0"/>
                        <a:fontRef idx="minor"/>
                      </wps:style>
                      <wps:txbx>
                        <w:txbxContent>
                          <w:p>
                            <w:pPr>
                              <w:pStyle w:val="Contenudecadre"/>
                              <w:rPr/>
                            </w:pPr>
                            <w:r>
                              <w:rPr/>
                              <w:object>
                                <v:shape id="ole_rId51" style="width:63.65pt;height:38.95pt" o:ole="">
                                  <v:imagedata r:id="rId52" o:title=""/>
                                </v:shape>
                                <o:OLEObject Type="Embed" ProgID="" ShapeID="ole_rId51" DrawAspect="Content" ObjectID="_191881018" r:id="rId51"/>
                              </w:object>
                            </w:r>
                          </w:p>
                        </w:txbxContent>
                      </wps:txbx>
                      <wps:bodyPr lIns="90000" rIns="90000" tIns="45000" bIns="45000">
                        <a:noAutofit/>
                      </wps:bodyPr>
                    </wps:wsp>
                  </a:graphicData>
                </a:graphic>
              </wp:anchor>
            </w:drawing>
          </mc:Choice>
          <mc:Fallback>
            <w:pict>
              <v:rect id="shape_0" ID="Zone de texte 15" fillcolor="white" stroked="f" style="position:absolute;margin-left:203.25pt;margin-top:18.45pt;width:78.7pt;height:46.85pt" wp14:anchorId="6AA829A6">
                <w10:wrap type="none"/>
                <v:fill o:detectmouseclick="t" type="solid" color2="black" opacity="0"/>
                <v:stroke color="#3465a4" joinstyle="round" endcap="flat"/>
                <v:textbox>
                  <w:txbxContent>
                    <w:p>
                      <w:pPr>
                        <w:pStyle w:val="Contenudecadre"/>
                        <w:rPr/>
                      </w:pPr>
                      <w:r>
                        <w:rPr/>
                        <w:object>
                          <v:shape id="ole_rId53" style="width:63.65pt;height:38.95pt" o:ole="">
                            <v:imagedata r:id="rId54" o:title=""/>
                          </v:shape>
                          <o:OLEObject Type="Embed" ProgID="" ShapeID="ole_rId53" DrawAspect="Content" ObjectID="_1668513160" r:id="rId53"/>
                        </w:object>
                      </w:r>
                    </w:p>
                  </w:txbxContent>
                </v:textbox>
              </v:rect>
            </w:pict>
          </mc:Fallback>
        </mc:AlternateContent>
        <mc:AlternateContent>
          <mc:Choice Requires="wps">
            <w:drawing>
              <wp:anchor behindDoc="0" distT="0" distB="0" distL="114935" distR="114935" simplePos="0" locked="0" layoutInCell="1" allowOverlap="1" relativeHeight="14" wp14:anchorId="5052B03A">
                <wp:simplePos x="0" y="0"/>
                <wp:positionH relativeFrom="column">
                  <wp:posOffset>5735320</wp:posOffset>
                </wp:positionH>
                <wp:positionV relativeFrom="paragraph">
                  <wp:posOffset>200025</wp:posOffset>
                </wp:positionV>
                <wp:extent cx="802005" cy="605790"/>
                <wp:effectExtent l="1270" t="5080" r="6985" b="8890"/>
                <wp:wrapNone/>
                <wp:docPr id="22" name="Zone de texte 13"/>
                <a:graphic xmlns:a="http://schemas.openxmlformats.org/drawingml/2006/main">
                  <a:graphicData uri="http://schemas.microsoft.com/office/word/2010/wordprocessingShape">
                    <wps:wsp>
                      <wps:cNvSpPr/>
                      <wps:spPr>
                        <a:xfrm>
                          <a:off x="0" y="0"/>
                          <a:ext cx="801360" cy="605160"/>
                        </a:xfrm>
                        <a:prstGeom prst="rect">
                          <a:avLst/>
                        </a:prstGeom>
                        <a:noFill/>
                        <a:ln>
                          <a:noFill/>
                        </a:ln>
                      </wps:spPr>
                      <wps:style>
                        <a:lnRef idx="0"/>
                        <a:fillRef idx="0"/>
                        <a:effectRef idx="0"/>
                        <a:fontRef idx="minor"/>
                      </wps:style>
                      <wps:txbx>
                        <w:txbxContent>
                          <w:p>
                            <w:pPr>
                              <w:pStyle w:val="Contenudecadre"/>
                              <w:rPr/>
                            </w:pPr>
                            <w:r>
                              <w:rPr/>
                              <w:object>
                                <v:shape id="ole_rId55" style="width:48pt;height:39.7pt" o:ole="">
                                  <v:imagedata r:id="rId56" o:title=""/>
                                </v:shape>
                                <o:OLEObject Type="Embed" ProgID="" ShapeID="ole_rId55" DrawAspect="Content" ObjectID="_1873339657" r:id="rId55"/>
                              </w:object>
                            </w:r>
                          </w:p>
                        </w:txbxContent>
                      </wps:txbx>
                      <wps:bodyPr lIns="90000" rIns="90000" tIns="45000" bIns="45000">
                        <a:noAutofit/>
                      </wps:bodyPr>
                    </wps:wsp>
                  </a:graphicData>
                </a:graphic>
              </wp:anchor>
            </w:drawing>
          </mc:Choice>
          <mc:Fallback>
            <w:pict>
              <v:rect id="shape_0" ID="Zone de texte 13" fillcolor="white" stroked="f" style="position:absolute;margin-left:451.6pt;margin-top:15.75pt;width:63.05pt;height:47.6pt" wp14:anchorId="5052B03A">
                <w10:wrap type="none"/>
                <v:fill o:detectmouseclick="t" type="solid" color2="black" opacity="0"/>
                <v:stroke color="#3465a4" joinstyle="round" endcap="flat"/>
                <v:textbox>
                  <w:txbxContent>
                    <w:p>
                      <w:pPr>
                        <w:pStyle w:val="Contenudecadre"/>
                        <w:rPr/>
                      </w:pPr>
                      <w:r>
                        <w:rPr/>
                        <w:object>
                          <v:shape id="ole_rId57" style="width:48pt;height:39.7pt" o:ole="">
                            <v:imagedata r:id="rId58" o:title=""/>
                          </v:shape>
                          <o:OLEObject Type="Embed" ProgID="" ShapeID="ole_rId57" DrawAspect="Content" ObjectID="_605315944" r:id="rId57"/>
                        </w:object>
                      </w:r>
                    </w:p>
                  </w:txbxContent>
                </v:textbox>
              </v:rect>
            </w:pict>
          </mc:Fallback>
        </mc:AlternateContent>
        <mc:AlternateContent>
          <mc:Choice Requires="wps">
            <w:drawing>
              <wp:anchor behindDoc="0" distT="0" distB="0" distL="114935" distR="114935" simplePos="0" locked="0" layoutInCell="1" allowOverlap="1" relativeHeight="16" wp14:anchorId="0F3F82A1">
                <wp:simplePos x="0" y="0"/>
                <wp:positionH relativeFrom="column">
                  <wp:posOffset>4763770</wp:posOffset>
                </wp:positionH>
                <wp:positionV relativeFrom="paragraph">
                  <wp:posOffset>234315</wp:posOffset>
                </wp:positionV>
                <wp:extent cx="971550" cy="571500"/>
                <wp:effectExtent l="1270" t="1270" r="8890" b="8890"/>
                <wp:wrapSquare wrapText="bothSides"/>
                <wp:docPr id="24" name="Zone de texte 12"/>
                <a:graphic xmlns:a="http://schemas.openxmlformats.org/drawingml/2006/main">
                  <a:graphicData uri="http://schemas.microsoft.com/office/word/2010/wordprocessingShape">
                    <wps:wsp>
                      <wps:cNvSpPr/>
                      <wps:spPr>
                        <a:xfrm>
                          <a:off x="0" y="0"/>
                          <a:ext cx="970920" cy="570960"/>
                        </a:xfrm>
                        <a:prstGeom prst="rect">
                          <a:avLst/>
                        </a:prstGeom>
                        <a:noFill/>
                        <a:ln>
                          <a:noFill/>
                        </a:ln>
                      </wps:spPr>
                      <wps:style>
                        <a:lnRef idx="0"/>
                        <a:fillRef idx="0"/>
                        <a:effectRef idx="0"/>
                        <a:fontRef idx="minor"/>
                      </wps:style>
                      <wps:txbx>
                        <w:txbxContent>
                          <w:p>
                            <w:pPr>
                              <w:pStyle w:val="Contenudecadre"/>
                              <w:rPr/>
                            </w:pPr>
                            <w:r>
                              <w:rPr/>
                              <w:object>
                                <v:shape id="ole_rId59" style="width:59pt;height:37pt" o:ole="">
                                  <v:imagedata r:id="rId60" o:title=""/>
                                </v:shape>
                                <o:OLEObject Type="Embed" ProgID="" ShapeID="ole_rId59" DrawAspect="Content" ObjectID="_448904902" r:id="rId59"/>
                              </w:object>
                            </w:r>
                          </w:p>
                        </w:txbxContent>
                      </wps:txbx>
                      <wps:bodyPr lIns="90000" rIns="90000" tIns="45000" bIns="45000">
                        <a:noAutofit/>
                      </wps:bodyPr>
                    </wps:wsp>
                  </a:graphicData>
                </a:graphic>
              </wp:anchor>
            </w:drawing>
          </mc:Choice>
          <mc:Fallback>
            <w:pict>
              <v:rect id="shape_0" ID="Zone de texte 12" fillcolor="white" stroked="f" style="position:absolute;margin-left:375.1pt;margin-top:18.45pt;width:76.4pt;height:44.9pt" wp14:anchorId="0F3F82A1">
                <w10:wrap type="none"/>
                <v:fill o:detectmouseclick="t" type="solid" color2="black" opacity="0"/>
                <v:stroke color="#3465a4" joinstyle="round" endcap="flat"/>
                <v:textbox>
                  <w:txbxContent>
                    <w:p>
                      <w:pPr>
                        <w:pStyle w:val="Contenudecadre"/>
                        <w:rPr/>
                      </w:pPr>
                      <w:r>
                        <w:rPr/>
                        <w:object>
                          <v:shape id="ole_rId61" style="width:59pt;height:37pt" o:ole="">
                            <v:imagedata r:id="rId62" o:title=""/>
                          </v:shape>
                          <o:OLEObject Type="Embed" ProgID="" ShapeID="ole_rId61" DrawAspect="Content" ObjectID="_1348646920" r:id="rId61"/>
                        </w:object>
                      </w:r>
                    </w:p>
                  </w:txbxContent>
                </v:textbox>
              </v:rect>
            </w:pict>
          </mc:Fallback>
        </mc:AlternateContent>
      </w:r>
    </w:p>
    <w:p>
      <w:pPr>
        <w:pStyle w:val="Normal"/>
        <w:rPr>
          <w:i/>
          <w:i/>
          <w:iCs/>
        </w:rPr>
      </w:pPr>
      <w:r>
        <w:rPr/>
        <w:object>
          <v:shape id="ole_rId67" style="width:62.8pt;height:34.15pt" o:ole="">
            <v:imagedata r:id="rId68" o:title=""/>
          </v:shape>
          <o:OLEObject Type="Embed" ProgID="" ShapeID="ole_rId67" DrawAspect="Content" ObjectID="_134947" r:id="rId67"/>
        </w:object>
        <mc:AlternateContent>
          <mc:Choice Requires="wps">
            <w:drawing>
              <wp:anchor behindDoc="0" distT="0" distB="0" distL="114935" distR="114935" simplePos="0" locked="0" layoutInCell="1" allowOverlap="1" relativeHeight="15" wp14:anchorId="12832100">
                <wp:simplePos x="0" y="0"/>
                <wp:positionH relativeFrom="column">
                  <wp:posOffset>709295</wp:posOffset>
                </wp:positionH>
                <wp:positionV relativeFrom="paragraph">
                  <wp:posOffset>56515</wp:posOffset>
                </wp:positionV>
                <wp:extent cx="694690" cy="504825"/>
                <wp:effectExtent l="4445" t="1270" r="6350" b="8890"/>
                <wp:wrapSquare wrapText="bothSides"/>
                <wp:docPr id="26" name="Zone de texte 11"/>
                <a:graphic xmlns:a="http://schemas.openxmlformats.org/drawingml/2006/main">
                  <a:graphicData uri="http://schemas.microsoft.com/office/word/2010/wordprocessingShape">
                    <wps:wsp>
                      <wps:cNvSpPr/>
                      <wps:spPr>
                        <a:xfrm>
                          <a:off x="0" y="0"/>
                          <a:ext cx="694080" cy="504360"/>
                        </a:xfrm>
                        <a:prstGeom prst="rect">
                          <a:avLst/>
                        </a:prstGeom>
                        <a:noFill/>
                        <a:ln>
                          <a:noFill/>
                        </a:ln>
                      </wps:spPr>
                      <wps:style>
                        <a:lnRef idx="0"/>
                        <a:fillRef idx="0"/>
                        <a:effectRef idx="0"/>
                        <a:fontRef idx="minor"/>
                      </wps:style>
                      <wps:txbx>
                        <w:txbxContent>
                          <w:p>
                            <w:pPr>
                              <w:pStyle w:val="Contenudecadre"/>
                              <w:rPr/>
                            </w:pPr>
                            <w:r>
                              <w:rPr/>
                              <w:object>
                                <v:shape id="ole_rId63" style="width:46pt;height:33pt" o:ole="">
                                  <v:imagedata r:id="rId64" o:title=""/>
                                </v:shape>
                                <o:OLEObject Type="Embed" ProgID="" ShapeID="ole_rId63" DrawAspect="Content" ObjectID="_1142209016" r:id="rId63"/>
                              </w:object>
                            </w:r>
                          </w:p>
                        </w:txbxContent>
                      </wps:txbx>
                      <wps:bodyPr lIns="90000" rIns="90000" tIns="45000" bIns="45000">
                        <a:noAutofit/>
                      </wps:bodyPr>
                    </wps:wsp>
                  </a:graphicData>
                </a:graphic>
              </wp:anchor>
            </w:drawing>
          </mc:Choice>
          <mc:Fallback>
            <w:pict>
              <v:rect id="shape_0" ID="Zone de texte 11" fillcolor="white" stroked="f" style="position:absolute;margin-left:55.85pt;margin-top:4.45pt;width:54.6pt;height:39.65pt" wp14:anchorId="12832100">
                <w10:wrap type="none"/>
                <v:fill o:detectmouseclick="t" type="solid" color2="black" opacity="0"/>
                <v:stroke color="#3465a4" joinstyle="round" endcap="flat"/>
                <v:textbox>
                  <w:txbxContent>
                    <w:p>
                      <w:pPr>
                        <w:pStyle w:val="Contenudecadre"/>
                        <w:rPr/>
                      </w:pPr>
                      <w:r>
                        <w:rPr/>
                        <w:object>
                          <v:shape id="ole_rId65" style="width:46pt;height:33pt" o:ole="">
                            <v:imagedata r:id="rId66" o:title=""/>
                          </v:shape>
                          <o:OLEObject Type="Embed" ProgID="" ShapeID="ole_rId65" DrawAspect="Content" ObjectID="_824421767" r:id="rId65"/>
                        </w:object>
                      </w:r>
                    </w:p>
                  </w:txbxContent>
                </v:textbox>
              </v:rect>
            </w:pict>
          </mc:Fallback>
        </mc:AlternateContent>
      </w:r>
    </w:p>
    <w:p>
      <w:pPr>
        <w:pStyle w:val="Normal"/>
        <w:rPr/>
      </w:pPr>
      <w:r>
        <w:rPr/>
      </w:r>
    </w:p>
    <w:p>
      <w:pPr>
        <w:pStyle w:val="Normal"/>
        <w:rPr>
          <w:b/>
          <w:b/>
          <w:bCs/>
        </w:rPr>
      </w:pPr>
      <w:r>
        <w:rPr>
          <w:b/>
          <w:bCs/>
        </w:rPr>
        <w:t>Un modèle unique simplifié</w:t>
      </w:r>
    </w:p>
    <w:p>
      <w:pPr>
        <w:pStyle w:val="Normal"/>
        <w:rPr/>
      </w:pPr>
      <w:r>
        <w:rPr/>
        <w:t>Dans le cas de faibles oscillations, déterminer, à partir des résultats expérimentaux, l’expression correcte de la période T</w:t>
      </w:r>
      <w:r>
        <w:rPr>
          <w:vertAlign w:val="subscript"/>
        </w:rPr>
        <w:t>0</w:t>
      </w:r>
      <w:r>
        <w:rPr/>
        <w:t xml:space="preserve"> d’un pendule simple.</w:t>
      </w:r>
    </w:p>
    <w:p>
      <w:pPr>
        <w:pStyle w:val="Normal"/>
        <w:rPr/>
      </w:pPr>
      <w:r>
        <w:rPr/>
      </w:r>
      <w:r>
        <w:br w:type="page"/>
      </w:r>
    </w:p>
    <w:p>
      <w:pPr>
        <w:pStyle w:val="Normal"/>
        <w:jc w:val="center"/>
        <w:rPr>
          <w:b/>
          <w:b/>
          <w:bCs/>
        </w:rPr>
      </w:pPr>
      <w:r>
        <w:rPr>
          <w:b/>
          <w:bCs/>
        </w:rPr>
        <w:t>Aspects énergétiques du pendule simple</w:t>
      </w:r>
    </w:p>
    <w:p>
      <w:pPr>
        <w:pStyle w:val="Normal"/>
        <w:rPr/>
      </w:pPr>
      <w:r>
        <w:rPr/>
      </w:r>
    </w:p>
    <w:p>
      <w:pPr>
        <w:pStyle w:val="Normal"/>
        <w:rPr>
          <w:b/>
          <w:b/>
          <w:bCs/>
          <w:iCs/>
        </w:rPr>
      </w:pPr>
      <w:r>
        <w:rPr>
          <w:b/>
          <w:bCs/>
          <w:iCs/>
        </w:rPr>
        <w:t xml:space="preserve">Objectif </w:t>
      </w:r>
    </w:p>
    <w:p>
      <w:pPr>
        <w:pStyle w:val="Normal"/>
        <w:numPr>
          <w:ilvl w:val="0"/>
          <w:numId w:val="5"/>
        </w:numPr>
        <w:suppressAutoHyphens w:val="true"/>
        <w:spacing w:lineRule="auto" w:line="276" w:before="0" w:after="200"/>
        <w:rPr>
          <w:iCs/>
        </w:rPr>
      </w:pPr>
      <w:r>
        <w:rPr>
          <w:iCs/>
        </w:rPr>
        <w:t>Pratiquer une démarche expérimentale pour étudier l’évolution des énergies cinétique, potentielle et mécanique d’un oscillateur.</w:t>
      </w:r>
    </w:p>
    <w:p>
      <w:pPr>
        <w:pStyle w:val="Normal"/>
        <w:rPr/>
      </w:pPr>
      <w:r>
        <w:rPr/>
      </w:r>
    </w:p>
    <w:p>
      <w:pPr>
        <w:pStyle w:val="Normal"/>
        <w:rPr>
          <w:bCs/>
        </w:rPr>
      </w:pPr>
      <w:r>
        <w:rPr>
          <w:bCs/>
        </w:rPr>
        <w:t xml:space="preserve">A l’aide de l’une des 2 simulations suivantes </w:t>
      </w:r>
    </w:p>
    <w:p>
      <w:pPr>
        <w:pStyle w:val="Normal"/>
        <w:rPr/>
      </w:pPr>
      <w:r>
        <w:rPr>
          <w:bCs/>
        </w:rPr>
        <w:t xml:space="preserve">Site de M. Labatut : </w:t>
      </w:r>
      <w:hyperlink r:id="rId69">
        <w:r>
          <w:rPr>
            <w:rStyle w:val="LienInternet"/>
            <w:bCs/>
          </w:rPr>
          <w:t>http://scphysiques.free.fr/animations/animations.htm</w:t>
        </w:r>
      </w:hyperlink>
    </w:p>
    <w:p>
      <w:pPr>
        <w:pStyle w:val="Normal"/>
        <w:rPr>
          <w:bCs/>
        </w:rPr>
      </w:pPr>
      <w:r>
        <w:rPr>
          <w:bCs/>
        </w:rPr>
        <w:t>Sélectionner dans la page : Mécanique/Oscillateurs/pendule simple avec ou sans frottements</w:t>
      </w:r>
    </w:p>
    <w:p>
      <w:pPr>
        <w:pStyle w:val="Normal"/>
        <w:rPr>
          <w:bCs/>
        </w:rPr>
      </w:pPr>
      <w:r>
        <w:rPr>
          <w:bCs/>
        </w:rPr>
      </w:r>
    </w:p>
    <w:p>
      <w:pPr>
        <w:pStyle w:val="Normal"/>
        <w:rPr/>
      </w:pPr>
      <w:r>
        <w:rPr>
          <w:bCs/>
        </w:rPr>
        <w:t xml:space="preserve">Site de pH Et : </w:t>
      </w:r>
      <w:hyperlink r:id="rId70">
        <w:r>
          <w:rPr>
            <w:rStyle w:val="LienInternet"/>
            <w:bCs/>
          </w:rPr>
          <w:t>https://phet.colorado.edu/sims/html/pendulum-lab/latest/pendulum-lab_fr.html</w:t>
        </w:r>
      </w:hyperlink>
    </w:p>
    <w:p>
      <w:pPr>
        <w:pStyle w:val="Normal"/>
        <w:rPr>
          <w:bCs/>
        </w:rPr>
      </w:pPr>
      <w:r>
        <w:rPr>
          <w:bCs/>
        </w:rPr>
      </w:r>
    </w:p>
    <w:p>
      <w:pPr>
        <w:pStyle w:val="Normal"/>
        <w:rPr>
          <w:b/>
          <w:b/>
          <w:bCs/>
        </w:rPr>
      </w:pPr>
      <w:r>
        <w:rPr>
          <w:b/>
          <w:bCs/>
        </w:rPr>
        <w:t>1- Cas d’une évolution idéale</w:t>
      </w:r>
    </w:p>
    <w:p>
      <w:pPr>
        <w:pStyle w:val="Normal"/>
        <w:rPr/>
      </w:pPr>
      <w:r>
        <w:rPr/>
        <w:t>Inclure un graphe (site de M. Labatut)</w:t>
      </w:r>
    </w:p>
    <w:p>
      <w:pPr>
        <w:pStyle w:val="Normal"/>
        <w:ind w:left="708" w:hanging="0"/>
        <w:rPr/>
      </w:pPr>
      <w:r>
        <w:rPr/>
        <w:t>1.1 Quelle relation existe-t-il entre Ec et Epp et l’énergie mécanique Em ?</w:t>
      </w:r>
    </w:p>
    <w:p>
      <w:pPr>
        <w:pStyle w:val="Normal"/>
        <w:ind w:left="708" w:hanging="0"/>
        <w:rPr/>
      </w:pPr>
      <w:r>
        <w:rPr/>
        <w:t>1.2 Que peut-on dire des évolutions respectives des énergies potentielles et cinétiques ?</w:t>
      </w:r>
    </w:p>
    <w:p>
      <w:pPr>
        <w:pStyle w:val="Normal"/>
        <w:rPr>
          <w:b/>
          <w:b/>
          <w:bCs/>
        </w:rPr>
      </w:pPr>
      <w:r>
        <w:rPr>
          <w:b/>
          <w:bCs/>
        </w:rPr>
      </w:r>
    </w:p>
    <w:p>
      <w:pPr>
        <w:pStyle w:val="Normal"/>
        <w:rPr>
          <w:b/>
          <w:b/>
          <w:bCs/>
        </w:rPr>
      </w:pPr>
      <w:r>
        <w:rPr>
          <w:b/>
          <w:bCs/>
        </w:rPr>
        <w:t>2- Cas d’une évolution réelle</w:t>
      </w:r>
    </w:p>
    <w:p>
      <w:pPr>
        <w:pStyle w:val="Normal"/>
        <w:rPr/>
      </w:pPr>
      <w:r>
        <w:rPr/>
        <w:t>Inclure un graphe (site de M. Labatut)</w:t>
      </w:r>
    </w:p>
    <w:p>
      <w:pPr>
        <w:pStyle w:val="Normal"/>
        <w:ind w:left="720" w:hanging="0"/>
        <w:rPr/>
      </w:pPr>
      <w:r>
        <w:rPr/>
        <w:t>2.1 Que peut-on dire des évolutions respectives des énergies potentielles et cinétiques ?</w:t>
      </w:r>
    </w:p>
    <w:p>
      <w:pPr>
        <w:pStyle w:val="Normal"/>
        <w:ind w:left="720" w:hanging="0"/>
        <w:rPr/>
      </w:pPr>
      <w:r>
        <w:rPr/>
        <w:t>2.2 Pour quelle raison y a-t-il perte d’énergie mécanique ?</w:t>
      </w:r>
    </w:p>
    <w:p>
      <w:pPr>
        <w:pStyle w:val="Normal"/>
        <w:ind w:left="720" w:hanging="0"/>
        <w:rPr/>
      </w:pPr>
      <w:r>
        <w:rPr/>
        <w:t>2.3 Que devient cette perte énergétique ?</w:t>
      </w:r>
    </w:p>
    <w:p>
      <w:pPr>
        <w:pStyle w:val="Normal"/>
        <w:ind w:left="720" w:hanging="0"/>
        <w:rPr/>
      </w:pPr>
      <w:r>
        <w:rPr/>
        <w:t xml:space="preserve">2.4 Quelle est l’influence de ces frottements sur la période d’oscillation ? </w:t>
      </w:r>
    </w:p>
    <w:p>
      <w:pPr>
        <w:pStyle w:val="Normal"/>
        <w:ind w:left="720" w:hanging="0"/>
        <w:rPr/>
      </w:pPr>
      <w:r>
        <w:rPr/>
        <w:t>2.5 Identifier un cas limite.</w:t>
      </w:r>
    </w:p>
    <w:p>
      <w:pPr>
        <w:pStyle w:val="Normal"/>
        <w:jc w:val="both"/>
        <w:rPr>
          <w:u w:val="single"/>
          <w:lang w:val="fr-FR"/>
        </w:rPr>
      </w:pPr>
      <w:r>
        <w:rPr>
          <w:u w:val="single"/>
          <w:lang w:val="fr-FR"/>
        </w:rPr>
        <w:drawing>
          <wp:anchor behindDoc="0" distT="0" distB="0" distL="114935" distR="114935" simplePos="0" locked="0" layoutInCell="1" allowOverlap="1" relativeHeight="10">
            <wp:simplePos x="0" y="0"/>
            <wp:positionH relativeFrom="column">
              <wp:posOffset>5073015</wp:posOffset>
            </wp:positionH>
            <wp:positionV relativeFrom="paragraph">
              <wp:posOffset>35560</wp:posOffset>
            </wp:positionV>
            <wp:extent cx="1891030" cy="1737360"/>
            <wp:effectExtent l="0" t="0" r="0" b="0"/>
            <wp:wrapSquare wrapText="bothSides"/>
            <wp:docPr id="28" name="Imag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9" descr=""/>
                    <pic:cNvPicPr>
                      <a:picLocks noChangeAspect="1" noChangeArrowheads="1"/>
                    </pic:cNvPicPr>
                  </pic:nvPicPr>
                  <pic:blipFill>
                    <a:blip r:embed="rId71"/>
                    <a:stretch>
                      <a:fillRect/>
                    </a:stretch>
                  </pic:blipFill>
                  <pic:spPr bwMode="auto">
                    <a:xfrm>
                      <a:off x="0" y="0"/>
                      <a:ext cx="1891030" cy="1737360"/>
                    </a:xfrm>
                    <a:prstGeom prst="rect">
                      <a:avLst/>
                    </a:prstGeom>
                  </pic:spPr>
                </pic:pic>
              </a:graphicData>
            </a:graphic>
          </wp:anchor>
        </w:drawing>
      </w:r>
    </w:p>
    <w:p>
      <w:pPr>
        <w:pStyle w:val="Normal"/>
        <w:jc w:val="both"/>
        <w:rPr>
          <w:b/>
          <w:b/>
          <w:bCs/>
        </w:rPr>
      </w:pPr>
      <w:r>
        <w:rPr>
          <w:b/>
          <w:bCs/>
        </w:rPr>
        <w:t xml:space="preserve">3- Le contre-poids  </w:t>
      </w:r>
    </w:p>
    <w:p>
      <w:pPr>
        <w:pStyle w:val="Normal"/>
        <w:ind w:firstLine="360"/>
        <w:jc w:val="both"/>
        <w:rPr/>
      </w:pPr>
      <w:r>
        <w:rPr/>
        <w:t>Le Physicien Christian HUYGENS décide d’utiliser un pendule pour réguler le mouvement des horloges. Il ajoute au dispositif un système constitué d’une masse et d’un système d’engrenages. L’échappement à ancre permet de laisser passer une à une les dents d’une roue, ce qui libère et bloque alternativement la chute de de la masse à intervalles de temps égaux. Le mouvement régulier de la roue est transmis à des aiguilles par un jeu d’engrenages. Cette horloge à pendule dérive seulement de quelques secondes en 24 h.</w:t>
      </w:r>
    </w:p>
    <w:p>
      <w:pPr>
        <w:pStyle w:val="Normal"/>
        <w:rPr/>
      </w:pPr>
      <w:r>
        <w:rPr/>
      </w:r>
    </w:p>
    <w:p>
      <w:pPr>
        <w:pStyle w:val="Normal"/>
        <w:ind w:left="720" w:hanging="0"/>
        <w:rPr>
          <w:b/>
          <w:b/>
          <w:bCs/>
        </w:rPr>
      </w:pPr>
      <w:r>
        <w:rPr>
          <w:b/>
          <w:bCs/>
        </w:rPr>
        <w:t>Quel peut être le rôle du « poids » proposé par C. Huygens ?</w:t>
      </w:r>
    </w:p>
    <w:p>
      <w:pPr>
        <w:pStyle w:val="Normal"/>
        <w:rPr>
          <w:b/>
          <w:b/>
          <w:bCs/>
        </w:rPr>
      </w:pPr>
      <w:r>
        <w:rPr>
          <w:b/>
          <w:bCs/>
        </w:rPr>
      </w:r>
    </w:p>
    <w:p>
      <w:pPr>
        <w:pStyle w:val="Normal"/>
        <w:rPr>
          <w:b/>
          <w:b/>
          <w:bCs/>
        </w:rPr>
      </w:pPr>
      <w:r>
        <w:rPr>
          <w:b/>
          <w:bCs/>
        </w:rPr>
      </w:r>
    </w:p>
    <w:p>
      <w:pPr>
        <w:pStyle w:val="Normal"/>
        <w:rPr>
          <w:b/>
          <w:b/>
          <w:bCs/>
        </w:rPr>
      </w:pPr>
      <w:r>
        <w:rPr>
          <w:b/>
          <w:bCs/>
        </w:rPr>
        <w:t>Quelques belles vidéos du pendule le plus célèbre au monde : le botafumeiro !</w:t>
      </w:r>
    </w:p>
    <w:p>
      <w:pPr>
        <w:pStyle w:val="Normal"/>
        <w:rPr>
          <w:b/>
          <w:b/>
          <w:bCs/>
        </w:rPr>
      </w:pPr>
      <w:r>
        <w:rPr>
          <w:b/>
          <w:bCs/>
        </w:rPr>
      </w:r>
    </w:p>
    <w:p>
      <w:pPr>
        <w:pStyle w:val="Normal"/>
        <w:rPr/>
      </w:pPr>
      <w:hyperlink r:id="rId72">
        <w:r>
          <w:rPr>
            <w:rStyle w:val="LienInternet"/>
            <w:b/>
            <w:bCs/>
          </w:rPr>
          <w:t>https://www.youtube.com/watch?v=W3hkoyewQHU</w:t>
        </w:r>
      </w:hyperlink>
    </w:p>
    <w:p>
      <w:pPr>
        <w:pStyle w:val="Normal"/>
        <w:rPr>
          <w:b/>
          <w:b/>
          <w:bCs/>
        </w:rPr>
      </w:pPr>
      <w:r>
        <w:rPr>
          <w:b/>
          <w:bCs/>
        </w:rPr>
      </w:r>
    </w:p>
    <w:p>
      <w:pPr>
        <w:pStyle w:val="Normal"/>
        <w:rPr/>
      </w:pPr>
      <w:r>
        <w:rPr>
          <w:b/>
          <w:bCs/>
        </w:rPr>
        <w:t xml:space="preserve">Et son explication en animation (Nantes) : </w:t>
      </w:r>
      <w:hyperlink r:id="rId73">
        <w:r>
          <w:rPr>
            <w:rStyle w:val="LienInternet"/>
            <w:b/>
            <w:bCs/>
          </w:rPr>
          <w:t>http://www.sciences.univ-nantes.fr/sites/genevieve_tulloue/Meca/Oscillateurs/botafumeiro.html</w:t>
        </w:r>
      </w:hyperlink>
    </w:p>
    <w:p>
      <w:pPr>
        <w:pStyle w:val="Normal"/>
        <w:tabs>
          <w:tab w:val="left" w:pos="8807" w:leader="none"/>
        </w:tabs>
        <w:rPr/>
      </w:pPr>
      <w:r>
        <w:rPr/>
        <w:tab/>
      </w:r>
    </w:p>
    <w:p>
      <w:pPr>
        <w:pStyle w:val="Normal"/>
        <w:rPr/>
      </w:pPr>
      <w:r>
        <w:rPr/>
      </w:r>
    </w:p>
    <w:sectPr>
      <w:footerReference w:type="default" r:id="rId74"/>
      <w:type w:val="nextPage"/>
      <w:pgSz w:w="11906" w:h="16838"/>
      <w:pgMar w:left="700" w:right="678" w:header="0" w:top="426" w:footer="70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 w:name="Calibri">
    <w:charset w:val="00"/>
    <w:family w:val="roman"/>
    <w:pitch w:val="variable"/>
  </w:font>
  <w:font w:name="Arial Narrow">
    <w:charset w:val="00"/>
    <w:family w:val="roman"/>
    <w:pitch w:val="variable"/>
  </w:font>
  <w:font w:name="Bookman Old Style">
    <w:charset w:val="00"/>
    <w:family w:val="roman"/>
    <w:pitch w:val="variable"/>
  </w:font>
  <w:font w:name="Wingdings">
    <w:charset w:val="02"/>
    <w:family w:val="roman"/>
    <w:pitch w:val="variable"/>
  </w:font>
  <w:font w:name="Trebuchet MS">
    <w:charset w:val="00"/>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hyperlink r:id="rId1">
      <w:r>
        <w:rPr>
          <w:rStyle w:val="LienInternet"/>
        </w:rPr>
        <w:t>Martial.gavaland@ac-nantes.fr</w:t>
      </w:r>
    </w:hyperlink>
    <w:r>
      <w:rPr/>
      <w:t xml:space="preserve"> </w:t>
      <w:tab/>
      <w:t>Terminale S</w:t>
      <w:tab/>
      <w:tab/>
      <w:t>Mars 2020</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3">
    <w:lvl w:ilvl="0">
      <w:start w:val="1"/>
      <w:numFmt w:val="bullet"/>
      <w:lvlText w:val="-"/>
      <w:lvlJc w:val="left"/>
      <w:pPr>
        <w:ind w:left="720" w:hanging="360"/>
      </w:pPr>
      <w:rPr>
        <w:rFonts w:ascii="Calibri" w:hAnsi="Calibri" w:cs="Calibri" w:hint="default"/>
        <w:b/>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3"/>
      <w:numFmt w:val="bullet"/>
      <w:lvlText w:val="-"/>
      <w:lvlJc w:val="left"/>
      <w:pPr>
        <w:ind w:left="720" w:hanging="360"/>
      </w:pPr>
      <w:rPr>
        <w:rFonts w:ascii="Calibri" w:hAnsi="Calibri" w:cs="Calibri" w:hint="default"/>
        <w:b/>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3"/>
      <w:numFmt w:val="bullet"/>
      <w:lvlText w:val="-"/>
      <w:lvlJc w:val="left"/>
      <w:pPr>
        <w:ind w:left="720" w:hanging="360"/>
      </w:pPr>
      <w:rPr>
        <w:rFonts w:ascii="Calibri" w:hAnsi="Calibri" w:cs="Calibri" w:hint="default"/>
        <w:b/>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01"/>
      <w:numFmt w:val="bullet"/>
      <w:lvlText w:val="-"/>
      <w:lvlJc w:val="left"/>
      <w:pPr>
        <w:ind w:left="720" w:hanging="360"/>
      </w:pPr>
      <w:rPr>
        <w:rFonts w:ascii="Times New Roman" w:hAnsi="Times New Roman" w:cs="Times New Roman" w:hint="default"/>
        <w:sz w:val="24"/>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01"/>
      <w:numFmt w:val="bullet"/>
      <w:lvlText w:val="-"/>
      <w:lvlJc w:val="left"/>
      <w:pPr>
        <w:ind w:left="720" w:hanging="360"/>
      </w:pPr>
      <w:rPr>
        <w:rFonts w:ascii="Times New Roman" w:hAnsi="Times New Roman" w:cs="Times New Roman" w:hint="default"/>
        <w:sz w:val="24"/>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01"/>
      <w:numFmt w:val="bullet"/>
      <w:lvlText w:val="-"/>
      <w:lvlJc w:val="left"/>
      <w:pPr>
        <w:ind w:left="720" w:hanging="360"/>
      </w:pPr>
      <w:rPr>
        <w:rFonts w:ascii="Times New Roman" w:hAnsi="Times New Roman" w:cs="Times New Roman" w:hint="default"/>
        <w:sz w:val="24"/>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9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fr-FR" w:eastAsia="fr-FR" w:bidi="ar-SA"/>
      </w:rPr>
    </w:rPrDefault>
    <w:pPrDefaul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uiPriority="99"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fr-FR" w:eastAsia="fr-FR" w:bidi="ar-SA"/>
    </w:rPr>
  </w:style>
  <w:style w:type="paragraph" w:styleId="Titre1">
    <w:name w:val="Heading 1"/>
    <w:basedOn w:val="Normal"/>
    <w:next w:val="Normal"/>
    <w:qFormat/>
    <w:rsid w:val="00e23d88"/>
    <w:pPr>
      <w:keepNext w:val="true"/>
      <w:outlineLvl w:val="0"/>
    </w:pPr>
    <w:rPr>
      <w:b/>
      <w:bCs/>
      <w:sz w:val="20"/>
    </w:rPr>
  </w:style>
  <w:style w:type="paragraph" w:styleId="Titre2">
    <w:name w:val="Heading 2"/>
    <w:basedOn w:val="Normal"/>
    <w:next w:val="Normal"/>
    <w:link w:val="Titre2Car"/>
    <w:semiHidden/>
    <w:unhideWhenUsed/>
    <w:qFormat/>
    <w:rsid w:val="00263bf7"/>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8c7667"/>
    <w:rPr/>
  </w:style>
  <w:style w:type="character" w:styleId="PlaceholderText">
    <w:name w:val="Placeholder Text"/>
    <w:basedOn w:val="DefaultParagraphFont"/>
    <w:uiPriority w:val="99"/>
    <w:semiHidden/>
    <w:qFormat/>
    <w:rsid w:val="00163dcc"/>
    <w:rPr>
      <w:color w:val="808080"/>
    </w:rPr>
  </w:style>
  <w:style w:type="character" w:styleId="LienInternet">
    <w:name w:val="Lien Internet"/>
    <w:basedOn w:val="DefaultParagraphFont"/>
    <w:rsid w:val="0027438e"/>
    <w:rPr>
      <w:color w:val="0563C1" w:themeColor="hyperlink"/>
      <w:u w:val="single"/>
    </w:rPr>
  </w:style>
  <w:style w:type="character" w:styleId="UnresolvedMention">
    <w:name w:val="Unresolved Mention"/>
    <w:basedOn w:val="DefaultParagraphFont"/>
    <w:uiPriority w:val="99"/>
    <w:semiHidden/>
    <w:unhideWhenUsed/>
    <w:qFormat/>
    <w:rsid w:val="0027438e"/>
    <w:rPr>
      <w:color w:val="605E5C"/>
      <w:shd w:fill="E1DFDD" w:val="clear"/>
    </w:rPr>
  </w:style>
  <w:style w:type="character" w:styleId="FollowedHyperlink">
    <w:name w:val="FollowedHyperlink"/>
    <w:basedOn w:val="DefaultParagraphFont"/>
    <w:qFormat/>
    <w:rsid w:val="00224825"/>
    <w:rPr>
      <w:color w:val="954F72" w:themeColor="followedHyperlink"/>
      <w:u w:val="single"/>
    </w:rPr>
  </w:style>
  <w:style w:type="character" w:styleId="Titre2Car" w:customStyle="1">
    <w:name w:val="Titre 2 Car"/>
    <w:basedOn w:val="DefaultParagraphFont"/>
    <w:link w:val="Titre2"/>
    <w:semiHidden/>
    <w:qFormat/>
    <w:rsid w:val="00263bf7"/>
    <w:rPr>
      <w:rFonts w:ascii="Calibri Light" w:hAnsi="Calibri Light" w:eastAsia="" w:cs="" w:asciiTheme="majorHAnsi" w:cstheme="majorBidi" w:eastAsiaTheme="majorEastAsia" w:hAnsiTheme="majorHAnsi"/>
      <w:color w:val="2F5496" w:themeColor="accent1" w:themeShade="bf"/>
      <w:sz w:val="26"/>
      <w:szCs w:val="26"/>
    </w:rPr>
  </w:style>
  <w:style w:type="character" w:styleId="Opclozetxttlind" w:customStyle="1">
    <w:name w:val="op_clozetxt_tl_ind"/>
    <w:basedOn w:val="DefaultParagraphFont"/>
    <w:qFormat/>
    <w:rsid w:val="00263bf7"/>
    <w:rPr/>
  </w:style>
  <w:style w:type="character" w:styleId="Opclozetxttlexp" w:customStyle="1">
    <w:name w:val="op_clozetxt_tl_exp"/>
    <w:basedOn w:val="DefaultParagraphFont"/>
    <w:qFormat/>
    <w:rsid w:val="00263bf7"/>
    <w:rPr/>
  </w:style>
  <w:style w:type="character" w:styleId="Lienglossaire" w:customStyle="1">
    <w:name w:val="lienglossaire"/>
    <w:qFormat/>
    <w:rsid w:val="003564bb"/>
    <w:rPr/>
  </w:style>
  <w:style w:type="character" w:styleId="ListLabel1">
    <w:name w:val="ListLabel 1"/>
    <w:qFormat/>
    <w:rPr>
      <w:rFonts w:eastAsia="Times New Roman" w:cs="Arial"/>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Times New Roman" w:cs="Arial"/>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eastAsia="Times New Roman" w:cs="Times New Roman"/>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eastAsia="Times New Roman" w:cs="Arial"/>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eastAsia="Times New Roman" w:cs="Arial"/>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eastAsia="Times New Roman" w:cs="Arial"/>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eastAsia="Times New Roman" w:cs="Arial"/>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eastAsia="Times New Roman" w:cs="Arial"/>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eastAsia="Times New Roman"/>
    </w:rPr>
  </w:style>
  <w:style w:type="character" w:styleId="ListLabel34">
    <w:name w:val="ListLabel 34"/>
    <w:qFormat/>
    <w:rPr>
      <w:rFonts w:cs="Times New Roman"/>
      <w:u w:val="single"/>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b/>
    </w:rPr>
  </w:style>
  <w:style w:type="character" w:styleId="ListLabel43">
    <w:name w:val="ListLabel 43"/>
    <w:qFormat/>
    <w:rPr>
      <w:b/>
    </w:rPr>
  </w:style>
  <w:style w:type="character" w:styleId="ListLabel44">
    <w:name w:val="ListLabel 44"/>
    <w:qFormat/>
    <w:rPr>
      <w:b/>
    </w:rPr>
  </w:style>
  <w:style w:type="character" w:styleId="ListLabel45">
    <w:name w:val="ListLabel 45"/>
    <w:qFormat/>
    <w:rPr>
      <w:b/>
    </w:rPr>
  </w:style>
  <w:style w:type="character" w:styleId="ListLabel46">
    <w:name w:val="ListLabel 46"/>
    <w:qFormat/>
    <w:rPr>
      <w:b/>
      <w:bCs/>
    </w:rPr>
  </w:style>
  <w:style w:type="character" w:styleId="ListLabel47">
    <w:name w:val="ListLabel 47"/>
    <w:qFormat/>
    <w:rPr>
      <w:b/>
      <w:bCs/>
    </w:rPr>
  </w:style>
  <w:style w:type="character" w:styleId="ListLabel48">
    <w:name w:val="ListLabel 48"/>
    <w:qFormat/>
    <w:rPr>
      <w:rFonts w:eastAsia="Times New Roman"/>
    </w:rPr>
  </w:style>
  <w:style w:type="character" w:styleId="ListLabel49">
    <w:name w:val="ListLabel 49"/>
    <w:qFormat/>
    <w:rPr>
      <w:rFonts w:eastAsia="Times New Roman"/>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eastAsia="Calibri" w:cs="Calibri"/>
      <w:b/>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eastAsia="Calibri" w:cs="Calibri"/>
      <w:b/>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eastAsia="Calibri" w:cs="Calibri"/>
      <w:b/>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ascii="Times New Roman" w:hAnsi="Times New Roman" w:eastAsia="Times New Roman" w:cs="Times New Roman"/>
      <w:sz w:val="24"/>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ascii="Times New Roman" w:hAnsi="Times New Roman" w:eastAsia="Times New Roman" w:cs="Times New Roman"/>
      <w:sz w:val="24"/>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ascii="Times New Roman" w:hAnsi="Times New Roman" w:eastAsia="Times New Roman" w:cs="Times New Roman"/>
      <w:sz w:val="24"/>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paragraph" w:styleId="Titre">
    <w:name w:val="Titre"/>
    <w:basedOn w:val="Normal"/>
    <w:next w:val="Corpsdetexte"/>
    <w:qFormat/>
    <w:pPr>
      <w:keepNext w:val="true"/>
      <w:spacing w:before="240" w:after="120"/>
    </w:pPr>
    <w:rPr>
      <w:rFonts w:ascii="Liberation Sans" w:hAnsi="Liberation Sans" w:eastAsia="Microsoft YaHei" w:cs="Mang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Default" w:customStyle="1">
    <w:name w:val="Default"/>
    <w:qFormat/>
    <w:rsid w:val="000e4009"/>
    <w:pPr>
      <w:widowControl/>
      <w:bidi w:val="0"/>
      <w:jc w:val="left"/>
    </w:pPr>
    <w:rPr>
      <w:rFonts w:ascii="Arial" w:hAnsi="Arial" w:cs="Arial" w:eastAsia="Times New Roman"/>
      <w:color w:val="000000"/>
      <w:kern w:val="0"/>
      <w:sz w:val="24"/>
      <w:szCs w:val="24"/>
      <w:lang w:val="fr-FR" w:eastAsia="fr-FR" w:bidi="ar-SA"/>
    </w:rPr>
  </w:style>
  <w:style w:type="paragraph" w:styleId="Entte">
    <w:name w:val="Header"/>
    <w:basedOn w:val="Normal"/>
    <w:rsid w:val="00e93433"/>
    <w:pPr>
      <w:tabs>
        <w:tab w:val="center" w:pos="4536" w:leader="none"/>
        <w:tab w:val="right" w:pos="9072" w:leader="none"/>
      </w:tabs>
    </w:pPr>
    <w:rPr/>
  </w:style>
  <w:style w:type="paragraph" w:styleId="Pieddepage">
    <w:name w:val="Footer"/>
    <w:basedOn w:val="Normal"/>
    <w:rsid w:val="00e93433"/>
    <w:pPr>
      <w:tabs>
        <w:tab w:val="center" w:pos="4536" w:leader="none"/>
        <w:tab w:val="right" w:pos="9072" w:leader="none"/>
      </w:tabs>
    </w:pPr>
    <w:rPr/>
  </w:style>
  <w:style w:type="paragraph" w:styleId="NoSpacing">
    <w:name w:val="No Spacing"/>
    <w:qFormat/>
    <w:rsid w:val="00c64e8a"/>
    <w:pPr>
      <w:widowControl/>
      <w:bidi w:val="0"/>
      <w:jc w:val="left"/>
    </w:pPr>
    <w:rPr>
      <w:rFonts w:ascii="Calibri" w:hAnsi="Calibri" w:eastAsia="Calibri" w:cs="Times New Roman"/>
      <w:color w:val="auto"/>
      <w:kern w:val="0"/>
      <w:sz w:val="22"/>
      <w:szCs w:val="22"/>
      <w:lang w:eastAsia="en-US" w:val="fr-FR" w:bidi="ar-SA"/>
    </w:rPr>
  </w:style>
  <w:style w:type="paragraph" w:styleId="ListParagraph">
    <w:name w:val="List Paragraph"/>
    <w:basedOn w:val="Normal"/>
    <w:uiPriority w:val="99"/>
    <w:qFormat/>
    <w:rsid w:val="00c64e8a"/>
    <w:pPr>
      <w:spacing w:lineRule="auto" w:line="276" w:before="0" w:after="200"/>
      <w:ind w:left="720" w:hanging="0"/>
      <w:contextualSpacing/>
    </w:pPr>
    <w:rPr>
      <w:rFonts w:ascii="Calibri" w:hAnsi="Calibri" w:eastAsia="Calibri"/>
      <w:sz w:val="22"/>
      <w:szCs w:val="22"/>
      <w:lang w:eastAsia="en-US"/>
    </w:rPr>
  </w:style>
  <w:style w:type="paragraph" w:styleId="Opstxtp" w:customStyle="1">
    <w:name w:val="op_stxt_p"/>
    <w:basedOn w:val="Normal"/>
    <w:qFormat/>
    <w:rsid w:val="00263bf7"/>
    <w:pPr>
      <w:spacing w:beforeAutospacing="1" w:afterAutospacing="1"/>
    </w:pPr>
    <w:rPr/>
  </w:style>
  <w:style w:type="paragraph" w:styleId="Contenudecadre">
    <w:name w:val="Contenu de cadre"/>
    <w:basedOn w:val="Normal"/>
    <w:qFormat/>
    <w:pPr/>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table" w:styleId="Grilledutableau">
    <w:name w:val="Table Grid"/>
    <w:basedOn w:val="TableauNormal"/>
    <w:uiPriority w:val="99"/>
    <w:rsid w:val="006173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hysique-chimie.discip.ac-caen.fr/IMG/html/dosage_titrage.html" TargetMode="External"/><Relationship Id="rId3" Type="http://schemas.openxmlformats.org/officeDocument/2006/relationships/hyperlink" Target="http://scphysiques.free.fr/TS/chimieTS/vitesse.swf" TargetMode="External"/><Relationship Id="rId4" Type="http://schemas.openxmlformats.org/officeDocument/2006/relationships/hyperlink" Target="https://www.edumedia-sciences.com/fr/media/564-facteur-cinetique" TargetMode="External"/><Relationship Id="rId5" Type="http://schemas.openxmlformats.org/officeDocument/2006/relationships/hyperlink" Target="http://pccl.fr/physique_chimie_college_lycee/lycee/terminale_TS/facteur_cinetique_temperature.htm" TargetMode="External"/><Relationship Id="rId6" Type="http://schemas.openxmlformats.org/officeDocument/2006/relationships/hyperlink" Target="http://pccl.fr/physique_chimie_college_lycee/lycee/terminale_TS/facteur_cinetique_concentration.htm" TargetMode="External"/><Relationship Id="rId7" Type="http://schemas.openxmlformats.org/officeDocument/2006/relationships/hyperlink" Target="https://www.youtube.com/watch?v=IoZvvk13vAg" TargetMode="External"/><Relationship Id="rId8" Type="http://schemas.openxmlformats.org/officeDocument/2006/relationships/hyperlink" Target="http://scphysiques.free.fr/animations/animations.htm" TargetMode="External"/><Relationship Id="rId9" Type="http://schemas.openxmlformats.org/officeDocument/2006/relationships/hyperlink" Target="https://phet.colorado.edu/sims/html/pendulum-lab/latest/pendulum-lab_fr.html" TargetMode="External"/><Relationship Id="rId10" Type="http://schemas.openxmlformats.org/officeDocument/2006/relationships/image" Target="media/image1.jpeg"/><Relationship Id="rId11" Type="http://schemas.openxmlformats.org/officeDocument/2006/relationships/image" Target="media/image2.gif"/><Relationship Id="rId12" Type="http://schemas.openxmlformats.org/officeDocument/2006/relationships/image" Target="media/image3.jpeg"/><Relationship Id="rId13" Type="http://schemas.openxmlformats.org/officeDocument/2006/relationships/oleObject" Target="embeddings/oleObject1.bin"/><Relationship Id="rId14" Type="http://schemas.openxmlformats.org/officeDocument/2006/relationships/image" Target="media/image4.emf"/><Relationship Id="rId15" Type="http://schemas.openxmlformats.org/officeDocument/2006/relationships/image" Target="media/image5.png"/><Relationship Id="rId16" Type="http://schemas.openxmlformats.org/officeDocument/2006/relationships/hyperlink" Target="https://physique-chimie.discip.ac-caen.fr/IMG/html/dosage_titrage.html" TargetMode="External"/><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oleObject" Target="embeddings/oleObject2.bin"/><Relationship Id="rId20" Type="http://schemas.openxmlformats.org/officeDocument/2006/relationships/image" Target="media/image8.emf"/><Relationship Id="rId21" Type="http://schemas.openxmlformats.org/officeDocument/2006/relationships/oleObject" Target="embeddings/oleObject3.bin"/><Relationship Id="rId22" Type="http://schemas.openxmlformats.org/officeDocument/2006/relationships/image" Target="media/image9.emf"/><Relationship Id="rId23" Type="http://schemas.openxmlformats.org/officeDocument/2006/relationships/hyperlink" Target="http://scphysiques.free.fr/TS/chimieTS/vitesse.swf" TargetMode="External"/><Relationship Id="rId24" Type="http://schemas.openxmlformats.org/officeDocument/2006/relationships/hyperlink" Target="https://www.edumedia-sciences.com/fr/media/564-facteur-cinetique" TargetMode="External"/><Relationship Id="rId25" Type="http://schemas.openxmlformats.org/officeDocument/2006/relationships/hyperlink" Target="http://pccl.fr/physique_chimie_college_lycee/lycee/terminale_TS/facteur_cinetique_temperature.htm" TargetMode="External"/><Relationship Id="rId26" Type="http://schemas.openxmlformats.org/officeDocument/2006/relationships/hyperlink" Target="http://pccl.fr/physique_chimie_college_lycee/lycee/terminale_TS/facteur_cinetique_concentration.htm" TargetMode="External"/><Relationship Id="rId27" Type="http://schemas.openxmlformats.org/officeDocument/2006/relationships/hyperlink" Target="https://www.youtube.com/watch?v=IoZvvk13vAg" TargetMode="External"/><Relationship Id="rId28" Type="http://schemas.openxmlformats.org/officeDocument/2006/relationships/hyperlink" Target="https://www.youtube.com/watch?v=55p4A1IGGpA" TargetMode="External"/><Relationship Id="rId29" Type="http://schemas.openxmlformats.org/officeDocument/2006/relationships/hyperlink" Target="https://www.techno-science.net/definition/5931.html" TargetMode="External"/><Relationship Id="rId30" Type="http://schemas.openxmlformats.org/officeDocument/2006/relationships/hyperlink" Target="https://www.maxicours.com/se/cours/catalyse-homogene-heterogene-et-enzymatique/" TargetMode="External"/><Relationship Id="rId31" Type="http://schemas.openxmlformats.org/officeDocument/2006/relationships/hyperlink" Target="https://www.youtube.com/watch?v=-z3bC8TYQvI" TargetMode="External"/><Relationship Id="rId32" Type="http://schemas.openxmlformats.org/officeDocument/2006/relationships/image" Target="media/image10.png"/><Relationship Id="rId33" Type="http://schemas.openxmlformats.org/officeDocument/2006/relationships/hyperlink" Target="https://tp-svt.pagesperso-orange.fr/enzym.htm" TargetMode="External"/><Relationship Id="rId34" Type="http://schemas.openxmlformats.org/officeDocument/2006/relationships/hyperlink" Target="https://www.pedagogie.ac-nice.fr/svt/?p=661" TargetMode="External"/><Relationship Id="rId35" Type="http://schemas.openxmlformats.org/officeDocument/2006/relationships/image" Target="media/image11.jpeg"/><Relationship Id="rId36" Type="http://schemas.openxmlformats.org/officeDocument/2006/relationships/hyperlink" Target="https://www.techno-science.net/definition/1832.html" TargetMode="External"/><Relationship Id="rId37" Type="http://schemas.openxmlformats.org/officeDocument/2006/relationships/hyperlink" Target="https://www.techno-science.net/definition/5097.html" TargetMode="External"/><Relationship Id="rId38" Type="http://schemas.openxmlformats.org/officeDocument/2006/relationships/hyperlink" Target="https://www.techno-science.net/definition/1832.html" TargetMode="External"/><Relationship Id="rId39" Type="http://schemas.openxmlformats.org/officeDocument/2006/relationships/hyperlink" Target="https://www.techno-science.net/definition/5097.html" TargetMode="External"/><Relationship Id="rId40" Type="http://schemas.openxmlformats.org/officeDocument/2006/relationships/image" Target="media/image12.jpeg"/><Relationship Id="rId41" Type="http://schemas.openxmlformats.org/officeDocument/2006/relationships/hyperlink" Target="http://scphysiques.free.fr/animations/animations.htm" TargetMode="External"/><Relationship Id="rId42" Type="http://schemas.openxmlformats.org/officeDocument/2006/relationships/hyperlink" Target="https://phet.colorado.edu/sims/html/pendulum-lab/latest/pendulum-lab_fr.html" TargetMode="External"/><Relationship Id="rId43" Type="http://schemas.openxmlformats.org/officeDocument/2006/relationships/oleObject" Target="embeddings/oleObject4.bin"/><Relationship Id="rId44" Type="http://schemas.openxmlformats.org/officeDocument/2006/relationships/image" Target="media/image13.emf"/><Relationship Id="rId45" Type="http://schemas.openxmlformats.org/officeDocument/2006/relationships/oleObject" Target="embeddings/oleObject5.bin"/><Relationship Id="rId46" Type="http://schemas.openxmlformats.org/officeDocument/2006/relationships/image" Target="media/image14.emf"/><Relationship Id="rId47" Type="http://schemas.openxmlformats.org/officeDocument/2006/relationships/oleObject" Target="embeddings/oleObject6.bin"/><Relationship Id="rId48" Type="http://schemas.openxmlformats.org/officeDocument/2006/relationships/image" Target="media/image15.emf"/><Relationship Id="rId49" Type="http://schemas.openxmlformats.org/officeDocument/2006/relationships/oleObject" Target="embeddings/oleObject7.bin"/><Relationship Id="rId50" Type="http://schemas.openxmlformats.org/officeDocument/2006/relationships/image" Target="media/image16.emf"/><Relationship Id="rId51" Type="http://schemas.openxmlformats.org/officeDocument/2006/relationships/oleObject" Target="embeddings/oleObject8.bin"/><Relationship Id="rId52" Type="http://schemas.openxmlformats.org/officeDocument/2006/relationships/image" Target="media/image17.emf"/><Relationship Id="rId53" Type="http://schemas.openxmlformats.org/officeDocument/2006/relationships/oleObject" Target="embeddings/oleObject9.bin"/><Relationship Id="rId54" Type="http://schemas.openxmlformats.org/officeDocument/2006/relationships/image" Target="media/image18.emf"/><Relationship Id="rId55" Type="http://schemas.openxmlformats.org/officeDocument/2006/relationships/oleObject" Target="embeddings/oleObject10.bin"/><Relationship Id="rId56" Type="http://schemas.openxmlformats.org/officeDocument/2006/relationships/image" Target="media/image19.emf"/><Relationship Id="rId57" Type="http://schemas.openxmlformats.org/officeDocument/2006/relationships/oleObject" Target="embeddings/oleObject11.bin"/><Relationship Id="rId58" Type="http://schemas.openxmlformats.org/officeDocument/2006/relationships/image" Target="media/image20.emf"/><Relationship Id="rId59" Type="http://schemas.openxmlformats.org/officeDocument/2006/relationships/oleObject" Target="embeddings/oleObject12.bin"/><Relationship Id="rId60" Type="http://schemas.openxmlformats.org/officeDocument/2006/relationships/image" Target="media/image21.emf"/><Relationship Id="rId61" Type="http://schemas.openxmlformats.org/officeDocument/2006/relationships/oleObject" Target="embeddings/oleObject13.bin"/><Relationship Id="rId62" Type="http://schemas.openxmlformats.org/officeDocument/2006/relationships/image" Target="media/image22.emf"/><Relationship Id="rId63" Type="http://schemas.openxmlformats.org/officeDocument/2006/relationships/oleObject" Target="embeddings/oleObject14.bin"/><Relationship Id="rId64" Type="http://schemas.openxmlformats.org/officeDocument/2006/relationships/image" Target="media/image23.emf"/><Relationship Id="rId65" Type="http://schemas.openxmlformats.org/officeDocument/2006/relationships/oleObject" Target="embeddings/oleObject15.bin"/><Relationship Id="rId66" Type="http://schemas.openxmlformats.org/officeDocument/2006/relationships/image" Target="media/image24.emf"/><Relationship Id="rId67" Type="http://schemas.openxmlformats.org/officeDocument/2006/relationships/oleObject" Target="embeddings/oleObject16.bin"/><Relationship Id="rId68" Type="http://schemas.openxmlformats.org/officeDocument/2006/relationships/image" Target="media/image25.emf"/><Relationship Id="rId69" Type="http://schemas.openxmlformats.org/officeDocument/2006/relationships/hyperlink" Target="http://scphysiques.free.fr/animations/animations.htm" TargetMode="External"/><Relationship Id="rId70" Type="http://schemas.openxmlformats.org/officeDocument/2006/relationships/hyperlink" Target="https://phet.colorado.edu/sims/html/pendulum-lab/latest/pendulum-lab_fr.html" TargetMode="External"/><Relationship Id="rId71" Type="http://schemas.openxmlformats.org/officeDocument/2006/relationships/image" Target="media/image26.jpeg"/><Relationship Id="rId72" Type="http://schemas.openxmlformats.org/officeDocument/2006/relationships/hyperlink" Target="https://www.youtube.com/watch?v=W3hkoyewQHU" TargetMode="External"/><Relationship Id="rId73" Type="http://schemas.openxmlformats.org/officeDocument/2006/relationships/hyperlink" Target="http://www.sciences.univ-nantes.fr/sites/genevieve_tulloue/Meca/Oscillateurs/botafumeiro.html" TargetMode="External"/><Relationship Id="rId74" Type="http://schemas.openxmlformats.org/officeDocument/2006/relationships/footer" Target="footer1.xml"/><Relationship Id="rId75" Type="http://schemas.openxmlformats.org/officeDocument/2006/relationships/numbering" Target="numbering.xml"/><Relationship Id="rId76" Type="http://schemas.openxmlformats.org/officeDocument/2006/relationships/fontTable" Target="fontTable.xml"/><Relationship Id="rId77" Type="http://schemas.openxmlformats.org/officeDocument/2006/relationships/settings" Target="settings.xml"/><Relationship Id="rId78"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mailto:Martial.gavaland@ac-nantes.fr" TargetMode="Externa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LibreOffice/5.4.7.2$Windows_x86 LibreOffice_project/c838ef25c16710f8838b1faec480ebba495259d0</Application>
  <Pages>17</Pages>
  <Words>2218</Words>
  <Characters>13276</Characters>
  <CharactersWithSpaces>15280</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2020-03-22T19:00:00Z</dcterms:created>
  <dc:creator>TheDoc</dc:creator>
  <dc:description/>
  <dc:language>fr-FR</dc:language>
  <cp:lastModifiedBy>Martial Gavaland</cp:lastModifiedBy>
  <cp:lastPrinted>2020-03-22T18:59:00Z</cp:lastPrinted>
  <dcterms:modified xsi:type="dcterms:W3CDTF">2020-03-22T19:00:00Z</dcterms:modified>
  <cp:revision>2</cp:revision>
  <dc:subject/>
  <dc:title>PARTIE I : OBSERVER</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